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Override PartName="/word/theme/themeOverride1.xml" ContentType="application/vnd.openxmlformats-officedocument.themeOverride+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017A" w:rsidRPr="00CF1F4A" w:rsidRDefault="0081017A" w:rsidP="00F74106">
      <w:pPr>
        <w:pStyle w:val="Title"/>
        <w:bidi w:val="0"/>
        <w:rPr>
          <w:sz w:val="20"/>
          <w:szCs w:val="20"/>
        </w:rPr>
      </w:pPr>
      <w:r w:rsidRPr="00CF1F4A">
        <w:rPr>
          <w:sz w:val="20"/>
          <w:szCs w:val="20"/>
        </w:rPr>
        <w:t>Chapter One</w:t>
      </w:r>
    </w:p>
    <w:p w:rsidR="000A09DD" w:rsidRPr="00CF1F4A" w:rsidRDefault="000A09DD" w:rsidP="000A09DD">
      <w:pPr>
        <w:pStyle w:val="Title"/>
        <w:bidi w:val="0"/>
        <w:rPr>
          <w:sz w:val="20"/>
          <w:szCs w:val="20"/>
        </w:rPr>
      </w:pPr>
    </w:p>
    <w:p w:rsidR="006A480D" w:rsidRPr="00CF1F4A" w:rsidRDefault="006A480D" w:rsidP="0081017A">
      <w:pPr>
        <w:pStyle w:val="Title"/>
        <w:bidi w:val="0"/>
        <w:rPr>
          <w:szCs w:val="24"/>
        </w:rPr>
      </w:pPr>
      <w:r w:rsidRPr="00CF1F4A">
        <w:rPr>
          <w:szCs w:val="24"/>
        </w:rPr>
        <w:t>Summary</w:t>
      </w:r>
    </w:p>
    <w:p w:rsidR="006A480D" w:rsidRPr="00CF1F4A" w:rsidRDefault="006A480D" w:rsidP="006A480D">
      <w:pPr>
        <w:pStyle w:val="Title"/>
        <w:bidi w:val="0"/>
        <w:rPr>
          <w:sz w:val="20"/>
          <w:szCs w:val="20"/>
        </w:rPr>
      </w:pPr>
    </w:p>
    <w:p w:rsidR="00D12C4F" w:rsidRPr="00CF1F4A" w:rsidRDefault="00360305" w:rsidP="0021776D">
      <w:pPr>
        <w:pStyle w:val="Title"/>
        <w:bidi w:val="0"/>
        <w:rPr>
          <w:rFonts w:cs="Traditional Arabic"/>
          <w:szCs w:val="24"/>
        </w:rPr>
      </w:pPr>
      <w:r w:rsidRPr="00360305">
        <w:pict>
          <v:rect id="_x0000_s1026" style="position:absolute;left:0;text-align:left;margin-left:297.25pt;margin-top:-2.95pt;width:42pt;height:24pt;z-index:251653120">
            <v:textbox style="mso-next-textbox:#_x0000_s1026">
              <w:txbxContent>
                <w:p w:rsidR="00136F22" w:rsidRDefault="00136F22" w:rsidP="00045CF3">
                  <w:pPr>
                    <w:jc w:val="center"/>
                    <w:rPr>
                      <w:b/>
                      <w:bCs/>
                      <w:sz w:val="28"/>
                      <w:szCs w:val="28"/>
                    </w:rPr>
                  </w:pPr>
                  <w:r>
                    <w:rPr>
                      <w:sz w:val="28"/>
                    </w:rPr>
                    <w:t>1.1</w:t>
                  </w:r>
                </w:p>
              </w:txbxContent>
            </v:textbox>
          </v:rect>
        </w:pict>
      </w:r>
      <w:r w:rsidR="00045CF3" w:rsidRPr="00CF1F4A">
        <w:rPr>
          <w:sz w:val="20"/>
          <w:szCs w:val="20"/>
        </w:rPr>
        <w:t>Palestinians in Palestin</w:t>
      </w:r>
      <w:r w:rsidR="0021776D" w:rsidRPr="00CF1F4A">
        <w:rPr>
          <w:sz w:val="20"/>
          <w:szCs w:val="20"/>
        </w:rPr>
        <w:t>e</w:t>
      </w:r>
      <w:r w:rsidR="00045CF3" w:rsidRPr="00CF1F4A">
        <w:rPr>
          <w:sz w:val="20"/>
          <w:szCs w:val="20"/>
        </w:rPr>
        <w:t xml:space="preserve"> </w:t>
      </w:r>
    </w:p>
    <w:p w:rsidR="00045CF3" w:rsidRPr="00CF1F4A" w:rsidRDefault="00045CF3" w:rsidP="00F74106">
      <w:pPr>
        <w:jc w:val="center"/>
      </w:pPr>
      <w:r w:rsidRPr="00CF1F4A">
        <w:rPr>
          <w:b/>
          <w:bCs/>
        </w:rPr>
        <w:t>(West Bank and Gaza Strip)</w:t>
      </w:r>
      <w:r w:rsidR="00D12C4F" w:rsidRPr="00CF1F4A">
        <w:t xml:space="preserve"> </w:t>
      </w:r>
    </w:p>
    <w:p w:rsidR="00527986" w:rsidRPr="00CF1F4A" w:rsidRDefault="00527986" w:rsidP="00F74106">
      <w:pPr>
        <w:jc w:val="center"/>
      </w:pPr>
    </w:p>
    <w:p w:rsidR="00527986" w:rsidRPr="00CF1F4A" w:rsidRDefault="00527986" w:rsidP="00527986">
      <w:pPr>
        <w:pStyle w:val="Title"/>
        <w:numPr>
          <w:ilvl w:val="0"/>
          <w:numId w:val="2"/>
        </w:numPr>
        <w:bidi w:val="0"/>
        <w:ind w:left="98" w:hanging="308"/>
        <w:jc w:val="left"/>
        <w:rPr>
          <w:rFonts w:cs="Traditional Arabic"/>
          <w:noProof w:val="0"/>
          <w:sz w:val="20"/>
          <w:szCs w:val="20"/>
          <w:rtl/>
        </w:rPr>
      </w:pPr>
      <w:r w:rsidRPr="00CF1F4A">
        <w:rPr>
          <w:rFonts w:cs="Traditional Arabic"/>
          <w:sz w:val="20"/>
          <w:szCs w:val="20"/>
        </w:rPr>
        <w:t xml:space="preserve">Population                                                         </w:t>
      </w:r>
    </w:p>
    <w:p w:rsidR="00527986" w:rsidRPr="00CF1F4A" w:rsidRDefault="00527986" w:rsidP="00527986">
      <w:pPr>
        <w:pStyle w:val="BodyText2"/>
        <w:numPr>
          <w:ilvl w:val="0"/>
          <w:numId w:val="3"/>
        </w:numPr>
        <w:tabs>
          <w:tab w:val="num" w:pos="142"/>
        </w:tabs>
        <w:overflowPunct/>
        <w:autoSpaceDE/>
        <w:autoSpaceDN/>
        <w:adjustRightInd/>
        <w:spacing w:after="120"/>
        <w:ind w:left="142" w:hanging="142"/>
        <w:textAlignment w:val="auto"/>
      </w:pPr>
      <w:r w:rsidRPr="00CF1F4A">
        <w:t>The population of Palestine was estimated at 5 million mid-2017: 3 million in the West Bank and 2 million in Gaza Strip.</w:t>
      </w:r>
    </w:p>
    <w:p w:rsidR="00527986" w:rsidRPr="00CF1F4A" w:rsidRDefault="008C0B40" w:rsidP="00527986">
      <w:pPr>
        <w:pStyle w:val="BodyText"/>
        <w:overflowPunct/>
        <w:autoSpaceDE/>
        <w:autoSpaceDN/>
        <w:adjustRightInd/>
        <w:ind w:left="142"/>
        <w:jc w:val="center"/>
        <w:textAlignment w:val="auto"/>
        <w:rPr>
          <w:sz w:val="16"/>
          <w:szCs w:val="16"/>
        </w:rPr>
      </w:pPr>
      <w:r w:rsidRPr="00CF1F4A">
        <w:rPr>
          <w:noProof/>
          <w:sz w:val="16"/>
          <w:szCs w:val="16"/>
          <w:bdr w:val="single" w:sz="4" w:space="0" w:color="auto"/>
        </w:rPr>
        <w:drawing>
          <wp:inline distT="0" distB="0" distL="0" distR="0">
            <wp:extent cx="3465637" cy="4896000"/>
            <wp:effectExtent l="19050" t="0" r="1463" b="0"/>
            <wp:docPr id="8" name="Picture 1" descr="G:\بعد ادخال المواد عليه كتاب فلسطين الاحصائي 2017\الخرائط  الاحصائية 2017\الخرائط 2017\Estimated_Pop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بعد ادخال المواد عليه كتاب فلسطين الاحصائي 2017\الخرائط  الاحصائية 2017\الخرائط 2017\Estimated_Pop_En.png"/>
                    <pic:cNvPicPr>
                      <a:picLocks noChangeAspect="1" noChangeArrowheads="1"/>
                    </pic:cNvPicPr>
                  </pic:nvPicPr>
                  <pic:blipFill>
                    <a:blip r:embed="rId8"/>
                    <a:srcRect/>
                    <a:stretch>
                      <a:fillRect/>
                    </a:stretch>
                  </pic:blipFill>
                  <pic:spPr bwMode="auto">
                    <a:xfrm>
                      <a:off x="0" y="0"/>
                      <a:ext cx="3465637" cy="4896000"/>
                    </a:xfrm>
                    <a:prstGeom prst="rect">
                      <a:avLst/>
                    </a:prstGeom>
                    <a:noFill/>
                    <a:ln w="9525">
                      <a:noFill/>
                      <a:miter lim="800000"/>
                      <a:headEnd/>
                      <a:tailEnd/>
                    </a:ln>
                  </pic:spPr>
                </pic:pic>
              </a:graphicData>
            </a:graphic>
          </wp:inline>
        </w:drawing>
      </w:r>
    </w:p>
    <w:p w:rsidR="00363A27" w:rsidRPr="00CF1F4A" w:rsidRDefault="00363A27" w:rsidP="00363A27">
      <w:pPr>
        <w:pStyle w:val="BodyText2"/>
        <w:overflowPunct/>
        <w:autoSpaceDE/>
        <w:autoSpaceDN/>
        <w:adjustRightInd/>
        <w:spacing w:after="120"/>
        <w:textAlignment w:val="auto"/>
        <w:rPr>
          <w:sz w:val="10"/>
          <w:szCs w:val="10"/>
        </w:rPr>
      </w:pPr>
    </w:p>
    <w:p w:rsidR="00527986" w:rsidRPr="00CF1F4A" w:rsidRDefault="00527986" w:rsidP="00527986">
      <w:pPr>
        <w:pStyle w:val="BodyText2"/>
        <w:numPr>
          <w:ilvl w:val="0"/>
          <w:numId w:val="3"/>
        </w:numPr>
        <w:tabs>
          <w:tab w:val="num" w:pos="142"/>
        </w:tabs>
        <w:overflowPunct/>
        <w:autoSpaceDE/>
        <w:autoSpaceDN/>
        <w:adjustRightInd/>
        <w:spacing w:after="120"/>
        <w:ind w:left="142" w:hanging="142"/>
        <w:textAlignment w:val="auto"/>
      </w:pPr>
      <w:r w:rsidRPr="00CF1F4A">
        <w:t>The population of Palestine is young:</w:t>
      </w:r>
      <w:r w:rsidRPr="00CF1F4A">
        <w:rPr>
          <w:rFonts w:hint="cs"/>
          <w:rtl/>
        </w:rPr>
        <w:t>38.9</w:t>
      </w:r>
      <w:r w:rsidRPr="00CF1F4A">
        <w:t>% of the total population were under 15 years in mid-2017: 36.6% in the West Bank and 42.6% in Gaza Strip.  Persons aged 65 and above constitute 2.9% of the total population: 3.3% in the West Bank and 2.4% in Gaza Strip. </w:t>
      </w:r>
    </w:p>
    <w:p w:rsidR="00527986" w:rsidRPr="00CF1F4A" w:rsidRDefault="00527986" w:rsidP="00527986">
      <w:pPr>
        <w:pStyle w:val="BodyText2"/>
        <w:numPr>
          <w:ilvl w:val="0"/>
          <w:numId w:val="3"/>
        </w:numPr>
        <w:tabs>
          <w:tab w:val="num" w:pos="142"/>
        </w:tabs>
        <w:overflowPunct/>
        <w:autoSpaceDE/>
        <w:autoSpaceDN/>
        <w:adjustRightInd/>
        <w:spacing w:after="120"/>
        <w:ind w:left="142" w:hanging="142"/>
        <w:textAlignment w:val="auto"/>
      </w:pPr>
      <w:r w:rsidRPr="00CF1F4A">
        <w:lastRenderedPageBreak/>
        <w:t>The total fertility rate in Palestine between 2011 and 2013 was 4.1 births: 3.7 births in the West Bank and 4.5 births in Gaza Strip.</w:t>
      </w:r>
    </w:p>
    <w:p w:rsidR="00527986" w:rsidRPr="00CF1F4A" w:rsidRDefault="00527986" w:rsidP="00527986">
      <w:pPr>
        <w:pStyle w:val="BodyText2"/>
        <w:numPr>
          <w:ilvl w:val="0"/>
          <w:numId w:val="3"/>
        </w:numPr>
        <w:tabs>
          <w:tab w:val="num" w:pos="142"/>
        </w:tabs>
        <w:overflowPunct/>
        <w:autoSpaceDE/>
        <w:autoSpaceDN/>
        <w:adjustRightInd/>
        <w:spacing w:after="120"/>
        <w:ind w:left="142" w:hanging="142"/>
        <w:textAlignment w:val="auto"/>
      </w:pPr>
      <w:r w:rsidRPr="00CF1F4A">
        <w:t>The Annual growth rate of the Palestinian population was 2.8% in Palestine in mid- 2017: 2.5% in the West Bank and 3.2% in Gaza Strip.</w:t>
      </w:r>
    </w:p>
    <w:p w:rsidR="00527986" w:rsidRPr="00CF1F4A" w:rsidRDefault="00527986" w:rsidP="00527986">
      <w:pPr>
        <w:pStyle w:val="BodyText2"/>
        <w:numPr>
          <w:ilvl w:val="0"/>
          <w:numId w:val="3"/>
        </w:numPr>
        <w:tabs>
          <w:tab w:val="num" w:pos="142"/>
        </w:tabs>
        <w:overflowPunct/>
        <w:autoSpaceDE/>
        <w:autoSpaceDN/>
        <w:adjustRightInd/>
        <w:spacing w:after="120"/>
        <w:ind w:left="142" w:hanging="142"/>
        <w:textAlignment w:val="auto"/>
      </w:pPr>
      <w:r w:rsidRPr="00CF1F4A">
        <w:t>In 2017, life expectancy at birth in Palestine was 73.8: 72.3 years for males and 75.4 years for females.</w:t>
      </w:r>
    </w:p>
    <w:p w:rsidR="00527986" w:rsidRPr="00CF1F4A" w:rsidRDefault="00527986" w:rsidP="00527986">
      <w:pPr>
        <w:pStyle w:val="BodyText2"/>
        <w:numPr>
          <w:ilvl w:val="0"/>
          <w:numId w:val="3"/>
        </w:numPr>
        <w:tabs>
          <w:tab w:val="num" w:pos="142"/>
        </w:tabs>
        <w:overflowPunct/>
        <w:autoSpaceDE/>
        <w:autoSpaceDN/>
        <w:adjustRightInd/>
        <w:spacing w:after="120"/>
        <w:ind w:left="142" w:hanging="142"/>
        <w:textAlignment w:val="auto"/>
      </w:pPr>
      <w:r w:rsidRPr="00CF1F4A">
        <w:t>In 2016 Palestinian refugees constituted 41.5% of the total population: 26.2% in the West Bank and 65.3</w:t>
      </w:r>
      <w:r w:rsidRPr="00CF1F4A">
        <w:rPr>
          <w:rtl/>
        </w:rPr>
        <w:t xml:space="preserve"> </w:t>
      </w:r>
      <w:r w:rsidRPr="00CF1F4A">
        <w:t>% in Gaza Strip.</w:t>
      </w:r>
    </w:p>
    <w:p w:rsidR="00527986" w:rsidRPr="00CF1F4A" w:rsidRDefault="00527986" w:rsidP="00527986">
      <w:pPr>
        <w:pStyle w:val="BodyText2"/>
        <w:numPr>
          <w:ilvl w:val="0"/>
          <w:numId w:val="3"/>
        </w:numPr>
        <w:tabs>
          <w:tab w:val="num" w:pos="142"/>
        </w:tabs>
        <w:overflowPunct/>
        <w:autoSpaceDE/>
        <w:autoSpaceDN/>
        <w:adjustRightInd/>
        <w:spacing w:after="120"/>
        <w:ind w:left="142" w:hanging="142"/>
        <w:textAlignment w:val="auto"/>
      </w:pPr>
      <w:r w:rsidRPr="00CF1F4A">
        <w:t>The average household size in Palestine was 5.2 person in 2016: 4.8 in the West Bank and 5.7 in Gaza Strip.</w:t>
      </w:r>
    </w:p>
    <w:p w:rsidR="00527986" w:rsidRPr="00CF1F4A" w:rsidRDefault="00527986" w:rsidP="00747CC0">
      <w:pPr>
        <w:pStyle w:val="ListParagraph"/>
        <w:bidi w:val="0"/>
        <w:ind w:left="0"/>
        <w:jc w:val="lowKashida"/>
        <w:rPr>
          <w:rFonts w:cs="Times New Roman"/>
          <w:i/>
          <w:iCs/>
          <w:sz w:val="20"/>
          <w:u w:val="single"/>
        </w:rPr>
      </w:pPr>
      <w:r w:rsidRPr="00CF1F4A">
        <w:rPr>
          <w:rFonts w:cs="Times New Roman"/>
          <w:i/>
          <w:iCs/>
          <w:sz w:val="20"/>
          <w:u w:val="single"/>
        </w:rPr>
        <w:t>For more details on population, see the tables in chapter 1.</w:t>
      </w:r>
      <w:r w:rsidR="00747CC0" w:rsidRPr="00CF1F4A">
        <w:rPr>
          <w:rFonts w:cs="Times New Roman"/>
          <w:i/>
          <w:iCs/>
          <w:sz w:val="20"/>
          <w:u w:val="single"/>
        </w:rPr>
        <w:t>1</w:t>
      </w:r>
      <w:r w:rsidRPr="00CF1F4A">
        <w:rPr>
          <w:rFonts w:cs="Times New Roman"/>
          <w:i/>
          <w:iCs/>
          <w:sz w:val="20"/>
          <w:u w:val="single"/>
        </w:rPr>
        <w:t xml:space="preserve"> in the Arabic section, pages </w:t>
      </w:r>
      <w:r w:rsidR="0088567C" w:rsidRPr="00CF1F4A">
        <w:rPr>
          <w:rFonts w:cs="Times New Roman"/>
          <w:i/>
          <w:iCs/>
          <w:sz w:val="20"/>
          <w:u w:val="single"/>
        </w:rPr>
        <w:t>19</w:t>
      </w:r>
      <w:r w:rsidRPr="00CF1F4A">
        <w:rPr>
          <w:rFonts w:cs="Times New Roman"/>
          <w:i/>
          <w:iCs/>
          <w:sz w:val="20"/>
          <w:u w:val="single"/>
        </w:rPr>
        <w:t>-</w:t>
      </w:r>
      <w:r w:rsidR="0088567C" w:rsidRPr="00CF1F4A">
        <w:rPr>
          <w:rFonts w:cs="Times New Roman"/>
          <w:i/>
          <w:iCs/>
          <w:sz w:val="20"/>
          <w:u w:val="single"/>
        </w:rPr>
        <w:t>28</w:t>
      </w:r>
      <w:r w:rsidRPr="00CF1F4A">
        <w:rPr>
          <w:rFonts w:cs="Times New Roman"/>
          <w:i/>
          <w:iCs/>
          <w:sz w:val="20"/>
          <w:u w:val="single"/>
        </w:rPr>
        <w:t>.</w:t>
      </w:r>
    </w:p>
    <w:p w:rsidR="0057165A" w:rsidRPr="00CF1F4A" w:rsidRDefault="0057165A" w:rsidP="0057165A">
      <w:pPr>
        <w:pStyle w:val="Title"/>
        <w:bidi w:val="0"/>
        <w:ind w:left="-210"/>
        <w:jc w:val="left"/>
        <w:rPr>
          <w:rFonts w:cs="Traditional Arabic"/>
          <w:sz w:val="144"/>
          <w:szCs w:val="144"/>
        </w:rPr>
      </w:pPr>
    </w:p>
    <w:p w:rsidR="0057165A" w:rsidRPr="00CF1F4A" w:rsidRDefault="0057165A" w:rsidP="0057165A">
      <w:pPr>
        <w:pStyle w:val="Title"/>
        <w:bidi w:val="0"/>
        <w:ind w:left="-210"/>
        <w:jc w:val="left"/>
        <w:rPr>
          <w:rFonts w:cs="Traditional Arabic"/>
          <w:sz w:val="144"/>
          <w:szCs w:val="144"/>
        </w:rPr>
      </w:pPr>
    </w:p>
    <w:p w:rsidR="0057165A" w:rsidRPr="00CF1F4A" w:rsidRDefault="0057165A" w:rsidP="0057165A">
      <w:pPr>
        <w:pStyle w:val="Title"/>
        <w:bidi w:val="0"/>
        <w:ind w:left="-210"/>
        <w:jc w:val="left"/>
        <w:rPr>
          <w:rFonts w:cs="Traditional Arabic"/>
          <w:sz w:val="144"/>
          <w:szCs w:val="144"/>
        </w:rPr>
      </w:pPr>
    </w:p>
    <w:p w:rsidR="0057165A" w:rsidRPr="00CF1F4A" w:rsidRDefault="0057165A" w:rsidP="0057165A">
      <w:pPr>
        <w:pStyle w:val="Title"/>
        <w:bidi w:val="0"/>
        <w:ind w:left="-210"/>
        <w:jc w:val="left"/>
        <w:rPr>
          <w:rFonts w:cs="Traditional Arabic"/>
          <w:sz w:val="16"/>
          <w:szCs w:val="16"/>
        </w:rPr>
      </w:pPr>
    </w:p>
    <w:p w:rsidR="0057165A" w:rsidRPr="00CF1F4A" w:rsidRDefault="0057165A" w:rsidP="0057165A">
      <w:pPr>
        <w:pStyle w:val="Title"/>
        <w:bidi w:val="0"/>
        <w:ind w:left="-210"/>
        <w:jc w:val="left"/>
        <w:rPr>
          <w:rFonts w:cs="Traditional Arabic"/>
          <w:sz w:val="16"/>
          <w:szCs w:val="16"/>
        </w:rPr>
      </w:pPr>
    </w:p>
    <w:p w:rsidR="0057165A" w:rsidRPr="00CF1F4A" w:rsidRDefault="0057165A" w:rsidP="0057165A">
      <w:pPr>
        <w:pStyle w:val="Title"/>
        <w:bidi w:val="0"/>
        <w:ind w:left="-210"/>
        <w:jc w:val="left"/>
        <w:rPr>
          <w:rFonts w:cs="Traditional Arabic"/>
          <w:sz w:val="16"/>
          <w:szCs w:val="16"/>
        </w:rPr>
      </w:pPr>
    </w:p>
    <w:p w:rsidR="0057165A" w:rsidRPr="00CF1F4A" w:rsidRDefault="0057165A" w:rsidP="0057165A">
      <w:pPr>
        <w:pStyle w:val="Title"/>
        <w:bidi w:val="0"/>
        <w:ind w:left="-210"/>
        <w:jc w:val="left"/>
        <w:rPr>
          <w:rFonts w:cs="Traditional Arabic"/>
          <w:sz w:val="20"/>
          <w:szCs w:val="20"/>
        </w:rPr>
      </w:pPr>
    </w:p>
    <w:p w:rsidR="0057165A" w:rsidRPr="00CF1F4A" w:rsidRDefault="0057165A" w:rsidP="0057165A">
      <w:pPr>
        <w:pStyle w:val="Title"/>
        <w:bidi w:val="0"/>
        <w:ind w:left="-210"/>
        <w:jc w:val="left"/>
        <w:rPr>
          <w:rFonts w:cs="Traditional Arabic"/>
          <w:sz w:val="20"/>
          <w:szCs w:val="20"/>
        </w:rPr>
      </w:pPr>
    </w:p>
    <w:p w:rsidR="00815D5D" w:rsidRPr="00CF1F4A" w:rsidRDefault="00815D5D" w:rsidP="00815D5D">
      <w:pPr>
        <w:pStyle w:val="Title"/>
        <w:bidi w:val="0"/>
        <w:ind w:left="-210"/>
        <w:jc w:val="left"/>
        <w:rPr>
          <w:rFonts w:cs="Traditional Arabic"/>
          <w:sz w:val="20"/>
          <w:szCs w:val="20"/>
        </w:rPr>
      </w:pPr>
    </w:p>
    <w:p w:rsidR="00815D5D" w:rsidRPr="00CF1F4A" w:rsidRDefault="00815D5D" w:rsidP="00815D5D">
      <w:pPr>
        <w:pStyle w:val="Title"/>
        <w:bidi w:val="0"/>
        <w:ind w:left="-210"/>
        <w:jc w:val="left"/>
        <w:rPr>
          <w:rFonts w:cs="Traditional Arabic"/>
          <w:sz w:val="20"/>
          <w:szCs w:val="20"/>
        </w:rPr>
      </w:pPr>
    </w:p>
    <w:p w:rsidR="00815D5D" w:rsidRPr="00CF1F4A" w:rsidRDefault="00815D5D" w:rsidP="00815D5D">
      <w:pPr>
        <w:pStyle w:val="Title"/>
        <w:bidi w:val="0"/>
        <w:ind w:left="-210"/>
        <w:jc w:val="left"/>
        <w:rPr>
          <w:rFonts w:cs="Traditional Arabic"/>
          <w:sz w:val="20"/>
          <w:szCs w:val="20"/>
        </w:rPr>
      </w:pPr>
    </w:p>
    <w:p w:rsidR="00815D5D" w:rsidRPr="00CF1F4A" w:rsidRDefault="00815D5D" w:rsidP="00815D5D">
      <w:pPr>
        <w:pStyle w:val="Title"/>
        <w:bidi w:val="0"/>
        <w:ind w:left="-210"/>
        <w:jc w:val="left"/>
        <w:rPr>
          <w:rFonts w:cs="Traditional Arabic"/>
          <w:sz w:val="20"/>
          <w:szCs w:val="20"/>
        </w:rPr>
      </w:pPr>
    </w:p>
    <w:p w:rsidR="00815D5D" w:rsidRPr="00CF1F4A" w:rsidRDefault="00815D5D" w:rsidP="00815D5D">
      <w:pPr>
        <w:pStyle w:val="Title"/>
        <w:bidi w:val="0"/>
        <w:ind w:left="-210"/>
        <w:jc w:val="left"/>
        <w:rPr>
          <w:rFonts w:cs="Traditional Arabic"/>
          <w:sz w:val="20"/>
          <w:szCs w:val="20"/>
        </w:rPr>
      </w:pPr>
    </w:p>
    <w:p w:rsidR="00815D5D" w:rsidRPr="00CF1F4A" w:rsidRDefault="00815D5D" w:rsidP="00815D5D">
      <w:pPr>
        <w:pStyle w:val="Title"/>
        <w:bidi w:val="0"/>
        <w:ind w:left="-210"/>
        <w:jc w:val="left"/>
        <w:rPr>
          <w:rFonts w:cs="Traditional Arabic"/>
          <w:sz w:val="20"/>
          <w:szCs w:val="20"/>
        </w:rPr>
      </w:pPr>
    </w:p>
    <w:p w:rsidR="00815D5D" w:rsidRPr="00CF1F4A" w:rsidRDefault="00815D5D" w:rsidP="00815D5D">
      <w:pPr>
        <w:pStyle w:val="Title"/>
        <w:bidi w:val="0"/>
        <w:ind w:left="-210"/>
        <w:jc w:val="left"/>
        <w:rPr>
          <w:rFonts w:cs="Traditional Arabic"/>
          <w:sz w:val="20"/>
          <w:szCs w:val="20"/>
        </w:rPr>
      </w:pPr>
    </w:p>
    <w:p w:rsidR="00815D5D" w:rsidRPr="00CF1F4A" w:rsidRDefault="00815D5D" w:rsidP="00815D5D">
      <w:pPr>
        <w:pStyle w:val="Title"/>
        <w:bidi w:val="0"/>
        <w:ind w:left="-210"/>
        <w:jc w:val="left"/>
        <w:rPr>
          <w:rFonts w:cs="Traditional Arabic"/>
          <w:sz w:val="20"/>
          <w:szCs w:val="20"/>
        </w:rPr>
      </w:pPr>
    </w:p>
    <w:p w:rsidR="00527986" w:rsidRPr="00CF1F4A" w:rsidRDefault="00527986" w:rsidP="00815D5D">
      <w:pPr>
        <w:pStyle w:val="Title"/>
        <w:numPr>
          <w:ilvl w:val="0"/>
          <w:numId w:val="2"/>
        </w:numPr>
        <w:bidi w:val="0"/>
        <w:ind w:left="98" w:hanging="308"/>
        <w:jc w:val="left"/>
        <w:rPr>
          <w:rFonts w:cs="Traditional Arabic"/>
          <w:sz w:val="20"/>
          <w:szCs w:val="20"/>
        </w:rPr>
      </w:pPr>
      <w:r w:rsidRPr="00CF1F4A">
        <w:rPr>
          <w:rFonts w:cs="Traditional Arabic"/>
          <w:sz w:val="20"/>
          <w:szCs w:val="20"/>
        </w:rPr>
        <w:lastRenderedPageBreak/>
        <w:t xml:space="preserve">Vital Statistics            </w:t>
      </w:r>
    </w:p>
    <w:p w:rsidR="00C948FF" w:rsidRPr="00CF1F4A" w:rsidRDefault="00527986" w:rsidP="00527986">
      <w:pPr>
        <w:pStyle w:val="BodyText"/>
        <w:numPr>
          <w:ilvl w:val="0"/>
          <w:numId w:val="3"/>
        </w:numPr>
        <w:overflowPunct/>
        <w:autoSpaceDE/>
        <w:autoSpaceDN/>
        <w:adjustRightInd/>
        <w:ind w:left="142" w:hanging="142"/>
        <w:textAlignment w:val="auto"/>
      </w:pPr>
      <w:r w:rsidRPr="00CF1F4A">
        <w:t>The Data of registered births does not include Jerusalem ID holders, the number of live births registered in Palestine was 124,331, comprising 69,889 in the West Bank and 54,442 in Gaza Strip.</w:t>
      </w:r>
    </w:p>
    <w:p w:rsidR="0056464E" w:rsidRPr="00CF1F4A" w:rsidRDefault="0056464E" w:rsidP="0056464E">
      <w:pPr>
        <w:pStyle w:val="BodyText"/>
        <w:overflowPunct/>
        <w:autoSpaceDE/>
        <w:autoSpaceDN/>
        <w:adjustRightInd/>
        <w:textAlignment w:val="auto"/>
      </w:pPr>
    </w:p>
    <w:p w:rsidR="00EA66EE" w:rsidRPr="00CF1F4A" w:rsidRDefault="00C948FF" w:rsidP="0057165A">
      <w:pPr>
        <w:pStyle w:val="BodyText"/>
        <w:overflowPunct/>
        <w:autoSpaceDE/>
        <w:autoSpaceDN/>
        <w:adjustRightInd/>
        <w:jc w:val="center"/>
        <w:textAlignment w:val="auto"/>
        <w:rPr>
          <w:sz w:val="10"/>
          <w:szCs w:val="10"/>
        </w:rPr>
      </w:pPr>
      <w:r w:rsidRPr="00CF1F4A">
        <w:rPr>
          <w:noProof/>
          <w:sz w:val="10"/>
          <w:szCs w:val="10"/>
          <w:bdr w:val="single" w:sz="4" w:space="0" w:color="auto"/>
        </w:rPr>
        <w:drawing>
          <wp:inline distT="0" distB="0" distL="0" distR="0">
            <wp:extent cx="3111534" cy="4392000"/>
            <wp:effectExtent l="19050" t="0" r="0" b="0"/>
            <wp:docPr id="15" name="Picture 5" descr="G:\بعد ادخال المواد عليه كتاب فلسطين الاحصائي 2017\الخرائط  الاحصائية 2017\الخرائط 2017\Marriages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بعد ادخال المواد عليه كتاب فلسطين الاحصائي 2017\الخرائط  الاحصائية 2017\الخرائط 2017\Marriages_En.png"/>
                    <pic:cNvPicPr>
                      <a:picLocks noChangeAspect="1" noChangeArrowheads="1"/>
                    </pic:cNvPicPr>
                  </pic:nvPicPr>
                  <pic:blipFill>
                    <a:blip r:embed="rId9"/>
                    <a:srcRect/>
                    <a:stretch>
                      <a:fillRect/>
                    </a:stretch>
                  </pic:blipFill>
                  <pic:spPr bwMode="auto">
                    <a:xfrm>
                      <a:off x="0" y="0"/>
                      <a:ext cx="3111534" cy="4392000"/>
                    </a:xfrm>
                    <a:prstGeom prst="rect">
                      <a:avLst/>
                    </a:prstGeom>
                    <a:noFill/>
                    <a:ln w="9525">
                      <a:noFill/>
                      <a:miter lim="800000"/>
                      <a:headEnd/>
                      <a:tailEnd/>
                    </a:ln>
                  </pic:spPr>
                </pic:pic>
              </a:graphicData>
            </a:graphic>
          </wp:inline>
        </w:drawing>
      </w:r>
    </w:p>
    <w:p w:rsidR="0056464E" w:rsidRPr="00CF1F4A" w:rsidRDefault="0056464E" w:rsidP="0056464E">
      <w:pPr>
        <w:pStyle w:val="BodyText2"/>
        <w:tabs>
          <w:tab w:val="num" w:pos="1211"/>
        </w:tabs>
        <w:overflowPunct/>
        <w:autoSpaceDE/>
        <w:autoSpaceDN/>
        <w:adjustRightInd/>
        <w:jc w:val="both"/>
        <w:textAlignment w:val="auto"/>
      </w:pPr>
    </w:p>
    <w:p w:rsidR="00527986" w:rsidRPr="00CF1F4A" w:rsidRDefault="00527986" w:rsidP="00085277">
      <w:pPr>
        <w:pStyle w:val="BodyText2"/>
        <w:numPr>
          <w:ilvl w:val="0"/>
          <w:numId w:val="3"/>
        </w:numPr>
        <w:tabs>
          <w:tab w:val="num" w:pos="142"/>
          <w:tab w:val="num" w:pos="1211"/>
        </w:tabs>
        <w:overflowPunct/>
        <w:autoSpaceDE/>
        <w:autoSpaceDN/>
        <w:adjustRightInd/>
        <w:ind w:left="142" w:hanging="142"/>
        <w:jc w:val="both"/>
        <w:textAlignment w:val="auto"/>
      </w:pPr>
      <w:r w:rsidRPr="00CF1F4A">
        <w:t>The median age at first marriage in Palestine was 20.</w:t>
      </w:r>
      <w:r w:rsidRPr="00CF1F4A">
        <w:rPr>
          <w:rFonts w:hint="cs"/>
          <w:rtl/>
        </w:rPr>
        <w:t>4</w:t>
      </w:r>
      <w:r w:rsidRPr="00CF1F4A">
        <w:t xml:space="preserve"> years for females and 24.</w:t>
      </w:r>
      <w:r w:rsidR="00085277">
        <w:rPr>
          <w:rFonts w:hint="cs"/>
          <w:rtl/>
        </w:rPr>
        <w:t>8</w:t>
      </w:r>
      <w:r w:rsidRPr="00CF1F4A">
        <w:t xml:space="preserve"> years for males in 2016.  </w:t>
      </w:r>
    </w:p>
    <w:p w:rsidR="006941CB" w:rsidRPr="00CF1F4A" w:rsidRDefault="006941CB" w:rsidP="006941CB">
      <w:pPr>
        <w:pStyle w:val="BodyText2"/>
        <w:tabs>
          <w:tab w:val="num" w:pos="1211"/>
        </w:tabs>
        <w:overflowPunct/>
        <w:autoSpaceDE/>
        <w:autoSpaceDN/>
        <w:adjustRightInd/>
        <w:jc w:val="both"/>
        <w:textAlignment w:val="auto"/>
        <w:rPr>
          <w:sz w:val="10"/>
          <w:szCs w:val="10"/>
        </w:rPr>
      </w:pPr>
    </w:p>
    <w:p w:rsidR="00527986" w:rsidRPr="00CF1F4A" w:rsidRDefault="00527986" w:rsidP="00527986">
      <w:pPr>
        <w:pStyle w:val="BodyText2"/>
        <w:numPr>
          <w:ilvl w:val="0"/>
          <w:numId w:val="3"/>
        </w:numPr>
        <w:tabs>
          <w:tab w:val="num" w:pos="142"/>
          <w:tab w:val="num" w:pos="1211"/>
        </w:tabs>
        <w:overflowPunct/>
        <w:autoSpaceDE/>
        <w:autoSpaceDN/>
        <w:adjustRightInd/>
        <w:ind w:left="142" w:hanging="142"/>
        <w:jc w:val="both"/>
        <w:textAlignment w:val="auto"/>
      </w:pPr>
      <w:r w:rsidRPr="00CF1F4A">
        <w:t>The number of registered marriages in 2016 at Sharia courts and churches in Palestine was 49,930; comprising 30,827 contracts in the West Bank and 19,103 contracts in Gaza Strip.</w:t>
      </w:r>
    </w:p>
    <w:p w:rsidR="00527986" w:rsidRPr="00CF1F4A" w:rsidRDefault="00527986" w:rsidP="00527986">
      <w:pPr>
        <w:pStyle w:val="BodyText2"/>
        <w:tabs>
          <w:tab w:val="num" w:pos="1211"/>
        </w:tabs>
        <w:overflowPunct/>
        <w:autoSpaceDE/>
        <w:autoSpaceDN/>
        <w:adjustRightInd/>
        <w:jc w:val="both"/>
        <w:textAlignment w:val="auto"/>
        <w:rPr>
          <w:sz w:val="10"/>
          <w:szCs w:val="10"/>
        </w:rPr>
      </w:pPr>
    </w:p>
    <w:p w:rsidR="00527986" w:rsidRPr="00CF1F4A" w:rsidRDefault="00527986" w:rsidP="003A3E4C">
      <w:pPr>
        <w:pStyle w:val="BodyText2"/>
        <w:numPr>
          <w:ilvl w:val="0"/>
          <w:numId w:val="3"/>
        </w:numPr>
        <w:tabs>
          <w:tab w:val="num" w:pos="142"/>
          <w:tab w:val="num" w:pos="1211"/>
        </w:tabs>
        <w:overflowPunct/>
        <w:autoSpaceDE/>
        <w:autoSpaceDN/>
        <w:adjustRightInd/>
        <w:ind w:left="142" w:hanging="142"/>
        <w:jc w:val="both"/>
        <w:textAlignment w:val="auto"/>
      </w:pPr>
      <w:r w:rsidRPr="00CF1F4A">
        <w:t xml:space="preserve">Hebron governorate recorded the highest number of marriages in Palestine with 8,556 contracts while </w:t>
      </w:r>
      <w:r w:rsidR="003A3E4C" w:rsidRPr="00CF1F4A">
        <w:t>Jericho</w:t>
      </w:r>
      <w:r w:rsidR="003A3E4C" w:rsidRPr="00CF1F4A">
        <w:rPr>
          <w:rtl/>
        </w:rPr>
        <w:t xml:space="preserve"> &amp; </w:t>
      </w:r>
      <w:r w:rsidR="003A3E4C" w:rsidRPr="00CF1F4A">
        <w:t>Al Aghwar</w:t>
      </w:r>
      <w:r w:rsidRPr="00CF1F4A">
        <w:t xml:space="preserve"> governorate recorded the lowest number of marriages with </w:t>
      </w:r>
      <w:r w:rsidR="003A3E4C" w:rsidRPr="00CF1F4A">
        <w:t>418</w:t>
      </w:r>
      <w:r w:rsidRPr="00CF1F4A">
        <w:t xml:space="preserve"> contracts.</w:t>
      </w:r>
    </w:p>
    <w:p w:rsidR="0056464E" w:rsidRPr="00CF1F4A" w:rsidRDefault="0056464E" w:rsidP="0056464E">
      <w:pPr>
        <w:pStyle w:val="BodyText2"/>
        <w:tabs>
          <w:tab w:val="num" w:pos="1211"/>
        </w:tabs>
        <w:overflowPunct/>
        <w:autoSpaceDE/>
        <w:autoSpaceDN/>
        <w:adjustRightInd/>
        <w:jc w:val="left"/>
        <w:textAlignment w:val="auto"/>
      </w:pPr>
    </w:p>
    <w:p w:rsidR="0056464E" w:rsidRPr="00CF1F4A" w:rsidRDefault="0056464E" w:rsidP="0056464E">
      <w:pPr>
        <w:pStyle w:val="BodyText2"/>
        <w:tabs>
          <w:tab w:val="num" w:pos="1211"/>
        </w:tabs>
        <w:overflowPunct/>
        <w:autoSpaceDE/>
        <w:autoSpaceDN/>
        <w:adjustRightInd/>
        <w:jc w:val="left"/>
        <w:textAlignment w:val="auto"/>
      </w:pPr>
    </w:p>
    <w:p w:rsidR="0056464E" w:rsidRPr="00CF1F4A" w:rsidRDefault="0056464E" w:rsidP="0056464E">
      <w:pPr>
        <w:pStyle w:val="BodyText2"/>
        <w:tabs>
          <w:tab w:val="num" w:pos="1211"/>
        </w:tabs>
        <w:overflowPunct/>
        <w:autoSpaceDE/>
        <w:autoSpaceDN/>
        <w:adjustRightInd/>
        <w:jc w:val="left"/>
        <w:textAlignment w:val="auto"/>
      </w:pPr>
    </w:p>
    <w:p w:rsidR="00527986" w:rsidRPr="00CF1F4A" w:rsidRDefault="00527986" w:rsidP="00815D5D">
      <w:pPr>
        <w:pStyle w:val="BodyText2"/>
        <w:numPr>
          <w:ilvl w:val="0"/>
          <w:numId w:val="3"/>
        </w:numPr>
        <w:tabs>
          <w:tab w:val="num" w:pos="142"/>
          <w:tab w:val="num" w:pos="1211"/>
        </w:tabs>
        <w:overflowPunct/>
        <w:autoSpaceDE/>
        <w:autoSpaceDN/>
        <w:adjustRightInd/>
        <w:ind w:left="142" w:hanging="142"/>
        <w:jc w:val="left"/>
        <w:textAlignment w:val="auto"/>
      </w:pPr>
      <w:r w:rsidRPr="00CF1F4A">
        <w:lastRenderedPageBreak/>
        <w:t xml:space="preserve">The number of registered divorces at Sharia courts in Palestine in 2016 was 8,510 cases, including 5,165 cases in the West Bank and </w:t>
      </w:r>
      <w:r w:rsidRPr="00CF1F4A">
        <w:rPr>
          <w:rFonts w:hint="cs"/>
          <w:rtl/>
        </w:rPr>
        <w:t>3</w:t>
      </w:r>
      <w:r w:rsidRPr="00CF1F4A">
        <w:rPr>
          <w:rtl/>
        </w:rPr>
        <w:t>,</w:t>
      </w:r>
      <w:r w:rsidRPr="00CF1F4A">
        <w:rPr>
          <w:rFonts w:hint="cs"/>
          <w:rtl/>
        </w:rPr>
        <w:t>345</w:t>
      </w:r>
      <w:r w:rsidRPr="00CF1F4A">
        <w:t xml:space="preserve"> cases in Gaza Strip. Gaza governorate recorded the highest number of div</w:t>
      </w:r>
      <w:r w:rsidR="003A3E4C" w:rsidRPr="00CF1F4A">
        <w:t xml:space="preserve">orce cases in Palestine with 1,179 </w:t>
      </w:r>
      <w:r w:rsidRPr="00CF1F4A">
        <w:t>while Jericho</w:t>
      </w:r>
      <w:r w:rsidRPr="00CF1F4A">
        <w:rPr>
          <w:rtl/>
        </w:rPr>
        <w:t xml:space="preserve"> &amp; </w:t>
      </w:r>
      <w:r w:rsidRPr="00CF1F4A">
        <w:t>Al Aghwar governorate recorded the lowest number with</w:t>
      </w:r>
      <w:r w:rsidR="00E909FF" w:rsidRPr="00CF1F4A">
        <w:t xml:space="preserve"> </w:t>
      </w:r>
      <w:r w:rsidRPr="00CF1F4A">
        <w:t>82 cases.</w:t>
      </w:r>
    </w:p>
    <w:p w:rsidR="00527986" w:rsidRPr="00CF1F4A" w:rsidRDefault="00527986" w:rsidP="00BB3F92">
      <w:pPr>
        <w:pStyle w:val="ListParagraph"/>
        <w:bidi w:val="0"/>
        <w:ind w:left="0"/>
        <w:jc w:val="lowKashida"/>
        <w:rPr>
          <w:rFonts w:cs="Times New Roman"/>
          <w:i/>
          <w:iCs/>
          <w:sz w:val="20"/>
          <w:u w:val="single"/>
        </w:rPr>
      </w:pPr>
      <w:r w:rsidRPr="00CF1F4A">
        <w:rPr>
          <w:rFonts w:cs="Times New Roman"/>
          <w:i/>
          <w:iCs/>
          <w:sz w:val="20"/>
          <w:u w:val="single"/>
        </w:rPr>
        <w:t>For more details about vital statistics, see the tables in chapter 1.</w:t>
      </w:r>
      <w:r w:rsidR="00BB3F92" w:rsidRPr="00CF1F4A">
        <w:rPr>
          <w:rFonts w:cs="Times New Roman"/>
          <w:i/>
          <w:iCs/>
          <w:sz w:val="20"/>
          <w:u w:val="single"/>
        </w:rPr>
        <w:t>2</w:t>
      </w:r>
      <w:r w:rsidRPr="00CF1F4A">
        <w:rPr>
          <w:rFonts w:cs="Times New Roman"/>
          <w:i/>
          <w:iCs/>
          <w:sz w:val="20"/>
          <w:u w:val="single"/>
        </w:rPr>
        <w:t xml:space="preserve"> of the Arabic section, pages </w:t>
      </w:r>
      <w:r w:rsidR="00D83F10" w:rsidRPr="00CF1F4A">
        <w:rPr>
          <w:rFonts w:cs="Times New Roman"/>
          <w:i/>
          <w:iCs/>
          <w:sz w:val="20"/>
          <w:u w:val="single"/>
        </w:rPr>
        <w:t>29</w:t>
      </w:r>
      <w:r w:rsidRPr="00CF1F4A">
        <w:rPr>
          <w:rFonts w:cs="Times New Roman"/>
          <w:i/>
          <w:iCs/>
          <w:sz w:val="20"/>
          <w:u w:val="single"/>
        </w:rPr>
        <w:t>-</w:t>
      </w:r>
      <w:r w:rsidR="00D83F10" w:rsidRPr="00CF1F4A">
        <w:rPr>
          <w:rFonts w:cs="Times New Roman"/>
          <w:i/>
          <w:iCs/>
          <w:sz w:val="20"/>
          <w:u w:val="single"/>
        </w:rPr>
        <w:t>5</w:t>
      </w:r>
      <w:r w:rsidRPr="00CF1F4A">
        <w:rPr>
          <w:rFonts w:cs="Times New Roman"/>
          <w:i/>
          <w:iCs/>
          <w:sz w:val="20"/>
          <w:u w:val="single"/>
        </w:rPr>
        <w:t>6.</w:t>
      </w:r>
    </w:p>
    <w:p w:rsidR="00527986" w:rsidRPr="00CF1F4A" w:rsidRDefault="00527986" w:rsidP="00527986">
      <w:pPr>
        <w:pStyle w:val="ListParagraph"/>
        <w:bidi w:val="0"/>
        <w:ind w:left="0"/>
        <w:jc w:val="lowKashida"/>
        <w:rPr>
          <w:rFonts w:cs="Times New Roman"/>
          <w:i/>
          <w:iCs/>
          <w:sz w:val="20"/>
          <w:u w:val="single"/>
        </w:rPr>
      </w:pPr>
    </w:p>
    <w:p w:rsidR="00E11A49" w:rsidRPr="00CF1F4A" w:rsidRDefault="00527986" w:rsidP="00527986">
      <w:pPr>
        <w:pStyle w:val="Title"/>
        <w:numPr>
          <w:ilvl w:val="0"/>
          <w:numId w:val="2"/>
        </w:numPr>
        <w:bidi w:val="0"/>
        <w:ind w:left="98" w:hanging="308"/>
        <w:jc w:val="left"/>
        <w:rPr>
          <w:rFonts w:cs="Traditional Arabic"/>
          <w:sz w:val="20"/>
          <w:szCs w:val="20"/>
        </w:rPr>
      </w:pPr>
      <w:r w:rsidRPr="00CF1F4A">
        <w:rPr>
          <w:rFonts w:cs="Traditional Arabic"/>
          <w:sz w:val="20"/>
          <w:szCs w:val="20"/>
        </w:rPr>
        <w:t>Housing and Housing Conditions</w:t>
      </w:r>
    </w:p>
    <w:p w:rsidR="00F63C2A" w:rsidRDefault="00255407" w:rsidP="00F63C2A">
      <w:pPr>
        <w:pStyle w:val="BodyText"/>
        <w:numPr>
          <w:ilvl w:val="0"/>
          <w:numId w:val="3"/>
        </w:numPr>
        <w:overflowPunct/>
        <w:autoSpaceDE/>
        <w:autoSpaceDN/>
        <w:adjustRightInd/>
        <w:ind w:left="142" w:hanging="142"/>
        <w:jc w:val="lowKashida"/>
        <w:textAlignment w:val="auto"/>
      </w:pPr>
      <w:r w:rsidRPr="00CF1F4A">
        <w:t xml:space="preserve">In 2015, </w:t>
      </w:r>
      <w:r w:rsidR="00F63C2A" w:rsidRPr="004B0720">
        <w:t>The average housing density in Palestine was 1.7 persons per room. The average for the West Bank was 1.6 compared with 1.9 persons per room in Gaza Strip.</w:t>
      </w:r>
    </w:p>
    <w:p w:rsidR="00F63C2A" w:rsidRPr="004B0720" w:rsidRDefault="00F63C2A" w:rsidP="00F63C2A">
      <w:pPr>
        <w:pStyle w:val="BodyText"/>
        <w:overflowPunct/>
        <w:autoSpaceDE/>
        <w:autoSpaceDN/>
        <w:adjustRightInd/>
        <w:jc w:val="lowKashida"/>
        <w:textAlignment w:val="auto"/>
      </w:pPr>
      <w:r w:rsidRPr="004B0720">
        <w:t xml:space="preserve"> </w:t>
      </w:r>
    </w:p>
    <w:p w:rsidR="00F63C2A" w:rsidRPr="004B0720" w:rsidRDefault="00F63C2A" w:rsidP="00C871F9">
      <w:pPr>
        <w:pStyle w:val="BodyText"/>
        <w:overflowPunct/>
        <w:autoSpaceDE/>
        <w:autoSpaceDN/>
        <w:adjustRightInd/>
        <w:ind w:left="142"/>
        <w:jc w:val="center"/>
        <w:textAlignment w:val="auto"/>
      </w:pPr>
      <w:r w:rsidRPr="00F63C2A">
        <w:rPr>
          <w:noProof/>
          <w:bdr w:val="single" w:sz="4" w:space="0" w:color="auto"/>
        </w:rPr>
        <w:drawing>
          <wp:inline distT="0" distB="0" distL="0" distR="0">
            <wp:extent cx="3446628" cy="4762500"/>
            <wp:effectExtent l="19050" t="0" r="1422" b="0"/>
            <wp:docPr id="20" name="Picture 4" descr="G:\كتاب فلسطين السنوي 2015 غدير\Housing_density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كتاب فلسطين السنوي 2015 غدير\Housing_density_En.png"/>
                    <pic:cNvPicPr>
                      <a:picLocks noChangeAspect="1" noChangeArrowheads="1"/>
                    </pic:cNvPicPr>
                  </pic:nvPicPr>
                  <pic:blipFill>
                    <a:blip r:embed="rId10"/>
                    <a:srcRect l="11083" t="4469" r="12000" b="18212"/>
                    <a:stretch>
                      <a:fillRect/>
                    </a:stretch>
                  </pic:blipFill>
                  <pic:spPr bwMode="auto">
                    <a:xfrm>
                      <a:off x="0" y="0"/>
                      <a:ext cx="3446734" cy="4762646"/>
                    </a:xfrm>
                    <a:prstGeom prst="rect">
                      <a:avLst/>
                    </a:prstGeom>
                    <a:noFill/>
                    <a:ln w="9525">
                      <a:noFill/>
                      <a:miter lim="800000"/>
                      <a:headEnd/>
                      <a:tailEnd/>
                    </a:ln>
                  </pic:spPr>
                </pic:pic>
              </a:graphicData>
            </a:graphic>
          </wp:inline>
        </w:drawing>
      </w:r>
    </w:p>
    <w:p w:rsidR="00EA66EE" w:rsidRPr="00CF1F4A" w:rsidRDefault="00F63C2A" w:rsidP="00F63C2A">
      <w:pPr>
        <w:pStyle w:val="BodyText"/>
        <w:numPr>
          <w:ilvl w:val="0"/>
          <w:numId w:val="3"/>
        </w:numPr>
        <w:overflowPunct/>
        <w:autoSpaceDE/>
        <w:autoSpaceDN/>
        <w:adjustRightInd/>
        <w:ind w:left="142" w:hanging="142"/>
        <w:jc w:val="lowKashida"/>
        <w:textAlignment w:val="auto"/>
      </w:pPr>
      <w:r w:rsidRPr="004B0720">
        <w:t xml:space="preserve"> Data showed that 1.1% of households in Palestine lived in a villa, 44.6% lived in </w:t>
      </w:r>
      <w:r>
        <w:t xml:space="preserve">  </w:t>
      </w:r>
      <w:r w:rsidRPr="004B0720">
        <w:t>a house, and 53.7% lived in an apartment.</w:t>
      </w:r>
    </w:p>
    <w:p w:rsidR="00B0601E" w:rsidRDefault="00527986" w:rsidP="0044309F">
      <w:pPr>
        <w:jc w:val="both"/>
        <w:rPr>
          <w:noProof/>
        </w:rPr>
      </w:pPr>
      <w:r w:rsidRPr="00CF1F4A">
        <w:rPr>
          <w:i/>
          <w:iCs/>
          <w:u w:val="single"/>
        </w:rPr>
        <w:t>For more details on housing and housing conditions, see the tables in chapter 1.</w:t>
      </w:r>
      <w:r w:rsidR="00BB3F92" w:rsidRPr="00CF1F4A">
        <w:rPr>
          <w:i/>
          <w:iCs/>
          <w:u w:val="single"/>
        </w:rPr>
        <w:t>3</w:t>
      </w:r>
      <w:r w:rsidRPr="00CF1F4A">
        <w:rPr>
          <w:i/>
          <w:iCs/>
          <w:u w:val="single"/>
        </w:rPr>
        <w:t xml:space="preserve"> of the Arabic section, pages </w:t>
      </w:r>
      <w:r w:rsidR="0044309F">
        <w:rPr>
          <w:i/>
          <w:iCs/>
          <w:u w:val="single"/>
        </w:rPr>
        <w:t>57</w:t>
      </w:r>
      <w:r w:rsidRPr="00CF1F4A">
        <w:rPr>
          <w:i/>
          <w:iCs/>
          <w:u w:val="single"/>
        </w:rPr>
        <w:t>-</w:t>
      </w:r>
      <w:r w:rsidR="0044309F">
        <w:rPr>
          <w:i/>
          <w:iCs/>
          <w:u w:val="single"/>
        </w:rPr>
        <w:t>64</w:t>
      </w:r>
      <w:r w:rsidR="00F63C2A">
        <w:rPr>
          <w:noProof/>
        </w:rPr>
        <w:t>.</w:t>
      </w:r>
    </w:p>
    <w:p w:rsidR="00F63C2A" w:rsidRPr="00CF1F4A" w:rsidRDefault="00F63C2A" w:rsidP="0044309F">
      <w:pPr>
        <w:jc w:val="both"/>
        <w:rPr>
          <w:noProof/>
        </w:rPr>
      </w:pPr>
    </w:p>
    <w:p w:rsidR="00D27191" w:rsidRPr="00CF1F4A" w:rsidRDefault="00D27191" w:rsidP="00D27191">
      <w:pPr>
        <w:pStyle w:val="Title"/>
        <w:numPr>
          <w:ilvl w:val="0"/>
          <w:numId w:val="2"/>
        </w:numPr>
        <w:bidi w:val="0"/>
        <w:ind w:left="98" w:hanging="308"/>
        <w:jc w:val="left"/>
        <w:rPr>
          <w:rFonts w:cs="Traditional Arabic"/>
          <w:sz w:val="20"/>
          <w:szCs w:val="20"/>
        </w:rPr>
      </w:pPr>
      <w:r w:rsidRPr="00CF1F4A">
        <w:rPr>
          <w:rFonts w:cs="Traditional Arabic"/>
          <w:sz w:val="20"/>
          <w:szCs w:val="20"/>
        </w:rPr>
        <w:lastRenderedPageBreak/>
        <w:t xml:space="preserve">Health                                </w:t>
      </w:r>
    </w:p>
    <w:p w:rsidR="00D27191" w:rsidRPr="00CF1F4A" w:rsidRDefault="00D27191" w:rsidP="00D27191">
      <w:pPr>
        <w:pStyle w:val="BodyText2"/>
        <w:numPr>
          <w:ilvl w:val="0"/>
          <w:numId w:val="3"/>
        </w:numPr>
        <w:tabs>
          <w:tab w:val="num" w:pos="142"/>
        </w:tabs>
        <w:overflowPunct/>
        <w:autoSpaceDE/>
        <w:autoSpaceDN/>
        <w:adjustRightInd/>
        <w:ind w:left="142" w:hanging="142"/>
        <w:textAlignment w:val="auto"/>
      </w:pPr>
      <w:r w:rsidRPr="00CF1F4A">
        <w:t>In 2015, there were 80 government</w:t>
      </w:r>
      <w:r w:rsidR="007711E7" w:rsidRPr="00CF1F4A">
        <w:t>al</w:t>
      </w:r>
      <w:r w:rsidRPr="00CF1F4A">
        <w:t xml:space="preserve"> and non-governmental hospitals in Palestine with a capacity of 6,006 beds.  The average number of days spent in government</w:t>
      </w:r>
      <w:r w:rsidR="001F11DC" w:rsidRPr="00CF1F4A">
        <w:t>al</w:t>
      </w:r>
      <w:r w:rsidRPr="00CF1F4A">
        <w:t xml:space="preserve"> hospitals in 2015 was 3.0. The bed occupancy rate in government</w:t>
      </w:r>
      <w:r w:rsidR="001F11DC" w:rsidRPr="00CF1F4A">
        <w:t>al</w:t>
      </w:r>
      <w:r w:rsidRPr="00CF1F4A">
        <w:t xml:space="preserve"> hospitals in Palestine in 2015 was 86.8%.</w:t>
      </w:r>
    </w:p>
    <w:p w:rsidR="00D27191" w:rsidRPr="00CF1F4A" w:rsidRDefault="00D27191" w:rsidP="00D27191">
      <w:pPr>
        <w:pStyle w:val="BodyText2"/>
        <w:tabs>
          <w:tab w:val="num" w:pos="1211"/>
        </w:tabs>
        <w:overflowPunct/>
        <w:autoSpaceDE/>
        <w:autoSpaceDN/>
        <w:adjustRightInd/>
        <w:ind w:left="142"/>
        <w:textAlignment w:val="auto"/>
        <w:rPr>
          <w:sz w:val="10"/>
          <w:szCs w:val="10"/>
        </w:rPr>
      </w:pPr>
    </w:p>
    <w:p w:rsidR="00D27191" w:rsidRPr="00CF1F4A" w:rsidRDefault="00D27191" w:rsidP="00D27191">
      <w:pPr>
        <w:pStyle w:val="BodyText2"/>
        <w:numPr>
          <w:ilvl w:val="0"/>
          <w:numId w:val="3"/>
        </w:numPr>
        <w:tabs>
          <w:tab w:val="num" w:pos="142"/>
        </w:tabs>
        <w:overflowPunct/>
        <w:autoSpaceDE/>
        <w:autoSpaceDN/>
        <w:adjustRightInd/>
        <w:ind w:left="142" w:hanging="142"/>
        <w:textAlignment w:val="auto"/>
      </w:pPr>
      <w:r w:rsidRPr="00CF1F4A">
        <w:t>In 2015, the main causes of child mortality in children aged 0-4 years in Palestine were conditions in the prenatal period (56.2%), followed by congenital anomalies (20.7%).</w:t>
      </w:r>
    </w:p>
    <w:p w:rsidR="00D27191" w:rsidRPr="00CF1F4A" w:rsidRDefault="00D27191" w:rsidP="00D27191">
      <w:pPr>
        <w:pStyle w:val="BodyText2"/>
        <w:tabs>
          <w:tab w:val="num" w:pos="1211"/>
        </w:tabs>
        <w:overflowPunct/>
        <w:autoSpaceDE/>
        <w:autoSpaceDN/>
        <w:adjustRightInd/>
        <w:ind w:left="142"/>
        <w:textAlignment w:val="auto"/>
        <w:rPr>
          <w:sz w:val="10"/>
          <w:szCs w:val="10"/>
        </w:rPr>
      </w:pPr>
    </w:p>
    <w:p w:rsidR="00D27191" w:rsidRPr="00CF1F4A" w:rsidRDefault="00D27191" w:rsidP="001F11DC">
      <w:pPr>
        <w:pStyle w:val="BodyText2"/>
        <w:numPr>
          <w:ilvl w:val="0"/>
          <w:numId w:val="3"/>
        </w:numPr>
        <w:tabs>
          <w:tab w:val="num" w:pos="142"/>
        </w:tabs>
        <w:overflowPunct/>
        <w:autoSpaceDE/>
        <w:autoSpaceDN/>
        <w:adjustRightInd/>
        <w:ind w:left="142" w:hanging="142"/>
        <w:textAlignment w:val="auto"/>
      </w:pPr>
      <w:r w:rsidRPr="00CF1F4A">
        <w:t xml:space="preserve">In 2011, Mobility disabilities were the most prevalent in Palestine (1.3%), while hearing difficulties and mental health </w:t>
      </w:r>
      <w:r w:rsidR="001F11DC" w:rsidRPr="00CF1F4A">
        <w:t xml:space="preserve">disabilities </w:t>
      </w:r>
      <w:r w:rsidRPr="00CF1F4A">
        <w:t xml:space="preserve">were the least prevalent (0.4%) for each. </w:t>
      </w:r>
    </w:p>
    <w:p w:rsidR="00D27191" w:rsidRPr="00CF1F4A" w:rsidRDefault="00D27191" w:rsidP="00D27191">
      <w:pPr>
        <w:pStyle w:val="BodyText2"/>
        <w:tabs>
          <w:tab w:val="num" w:pos="1211"/>
        </w:tabs>
        <w:overflowPunct/>
        <w:autoSpaceDE/>
        <w:autoSpaceDN/>
        <w:adjustRightInd/>
        <w:textAlignment w:val="auto"/>
        <w:rPr>
          <w:sz w:val="10"/>
          <w:szCs w:val="10"/>
        </w:rPr>
      </w:pPr>
    </w:p>
    <w:p w:rsidR="00D27191" w:rsidRPr="00CF1F4A" w:rsidRDefault="00D27191" w:rsidP="00D27191">
      <w:pPr>
        <w:pStyle w:val="BodyText"/>
        <w:overflowPunct/>
        <w:autoSpaceDE/>
        <w:autoSpaceDN/>
        <w:adjustRightInd/>
        <w:jc w:val="lowKashida"/>
        <w:textAlignment w:val="auto"/>
        <w:rPr>
          <w:sz w:val="10"/>
          <w:szCs w:val="10"/>
        </w:rPr>
      </w:pPr>
    </w:p>
    <w:p w:rsidR="00D27191" w:rsidRPr="00CF1F4A" w:rsidRDefault="00D27191" w:rsidP="00D27191">
      <w:pPr>
        <w:pStyle w:val="BodyText"/>
        <w:overflowPunct/>
        <w:autoSpaceDE/>
        <w:autoSpaceDN/>
        <w:adjustRightInd/>
        <w:jc w:val="lowKashida"/>
        <w:textAlignment w:val="auto"/>
        <w:rPr>
          <w:sz w:val="10"/>
          <w:szCs w:val="10"/>
        </w:rPr>
      </w:pPr>
    </w:p>
    <w:p w:rsidR="00D27191" w:rsidRPr="00CF1F4A" w:rsidRDefault="00D27191" w:rsidP="00D27191">
      <w:pPr>
        <w:pStyle w:val="ListParagraph"/>
        <w:bidi w:val="0"/>
        <w:ind w:left="0"/>
        <w:jc w:val="center"/>
        <w:rPr>
          <w:rFonts w:ascii="Arial" w:hAnsi="Arial" w:cs="Arial"/>
          <w:b/>
          <w:bCs/>
          <w:sz w:val="18"/>
          <w:szCs w:val="18"/>
        </w:rPr>
      </w:pPr>
      <w:r w:rsidRPr="00CF1F4A">
        <w:rPr>
          <w:rFonts w:ascii="Arial" w:hAnsi="Arial" w:cs="Arial"/>
          <w:b/>
          <w:bCs/>
          <w:sz w:val="18"/>
          <w:szCs w:val="18"/>
        </w:rPr>
        <w:t>Percentage of the Disabled in Palestine by Sex and Age</w:t>
      </w:r>
      <w:r w:rsidRPr="00CF1F4A">
        <w:rPr>
          <w:rFonts w:ascii="Arial" w:hAnsi="Arial" w:cs="Arial"/>
          <w:b/>
          <w:bCs/>
          <w:sz w:val="16"/>
          <w:szCs w:val="16"/>
        </w:rPr>
        <w:t xml:space="preserve"> </w:t>
      </w:r>
      <w:r w:rsidRPr="00CF1F4A">
        <w:rPr>
          <w:rFonts w:ascii="Arial" w:hAnsi="Arial" w:cs="Arial"/>
          <w:b/>
          <w:bCs/>
          <w:sz w:val="18"/>
          <w:szCs w:val="18"/>
        </w:rPr>
        <w:t>Group, 2011</w:t>
      </w:r>
    </w:p>
    <w:p w:rsidR="00E7178C" w:rsidRPr="00CF1F4A" w:rsidRDefault="00E7178C" w:rsidP="00E7178C">
      <w:pPr>
        <w:pStyle w:val="ListParagraph"/>
        <w:bidi w:val="0"/>
        <w:ind w:left="0"/>
        <w:jc w:val="center"/>
        <w:rPr>
          <w:rFonts w:ascii="Arial" w:hAnsi="Arial" w:cs="Arial"/>
          <w:b/>
          <w:bCs/>
          <w:sz w:val="10"/>
          <w:szCs w:val="10"/>
        </w:rPr>
      </w:pPr>
    </w:p>
    <w:p w:rsidR="00D27191" w:rsidRPr="00CF1F4A" w:rsidRDefault="00D27191" w:rsidP="00D27191">
      <w:pPr>
        <w:pStyle w:val="ListParagraph"/>
        <w:tabs>
          <w:tab w:val="left" w:pos="7087"/>
        </w:tabs>
        <w:bidi w:val="0"/>
        <w:ind w:left="0"/>
        <w:jc w:val="center"/>
        <w:rPr>
          <w:rFonts w:ascii="Simplified Arabic" w:hAnsi="Simplified Arabic"/>
          <w:b/>
          <w:bCs/>
          <w:noProof w:val="0"/>
          <w:sz w:val="18"/>
          <w:szCs w:val="18"/>
          <w:rtl/>
        </w:rPr>
      </w:pPr>
      <w:r w:rsidRPr="00CF1F4A">
        <w:rPr>
          <w:bdr w:val="single" w:sz="4" w:space="0" w:color="auto"/>
        </w:rPr>
        <w:drawing>
          <wp:inline distT="0" distB="0" distL="0" distR="0">
            <wp:extent cx="4197350" cy="1517650"/>
            <wp:effectExtent l="0" t="0" r="0" b="0"/>
            <wp:docPr id="24" name="مخطط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D27191" w:rsidRPr="00CF1F4A" w:rsidRDefault="00D27191" w:rsidP="00BB3F92">
      <w:pPr>
        <w:pStyle w:val="ListParagraph"/>
        <w:bidi w:val="0"/>
        <w:ind w:left="0"/>
        <w:jc w:val="lowKashida"/>
        <w:rPr>
          <w:rFonts w:cs="Times New Roman"/>
          <w:i/>
          <w:iCs/>
          <w:sz w:val="20"/>
          <w:u w:val="single"/>
        </w:rPr>
      </w:pPr>
      <w:r w:rsidRPr="00CF1F4A">
        <w:rPr>
          <w:rFonts w:cs="Times New Roman"/>
          <w:i/>
          <w:iCs/>
          <w:sz w:val="20"/>
          <w:u w:val="single"/>
        </w:rPr>
        <w:t>For more details on health, see the tables in chapter 1.</w:t>
      </w:r>
      <w:r w:rsidR="00BB3F92" w:rsidRPr="00CF1F4A">
        <w:rPr>
          <w:rFonts w:cs="Times New Roman"/>
          <w:i/>
          <w:iCs/>
          <w:sz w:val="20"/>
          <w:u w:val="single"/>
        </w:rPr>
        <w:t>4</w:t>
      </w:r>
      <w:r w:rsidRPr="00CF1F4A">
        <w:rPr>
          <w:rFonts w:cs="Times New Roman"/>
          <w:i/>
          <w:iCs/>
          <w:sz w:val="20"/>
          <w:u w:val="single"/>
        </w:rPr>
        <w:t xml:space="preserve"> of the Arabic section, pages</w:t>
      </w:r>
      <w:r w:rsidRPr="00CF1F4A">
        <w:rPr>
          <w:rFonts w:cs="Times New Roman"/>
          <w:i/>
          <w:iCs/>
          <w:noProof w:val="0"/>
          <w:sz w:val="20"/>
          <w:u w:val="single"/>
          <w:rtl/>
        </w:rPr>
        <w:t xml:space="preserve"> </w:t>
      </w:r>
      <w:r w:rsidR="00E7178C" w:rsidRPr="00CF1F4A">
        <w:rPr>
          <w:rFonts w:cs="Times New Roman"/>
          <w:i/>
          <w:iCs/>
          <w:sz w:val="20"/>
          <w:u w:val="single"/>
        </w:rPr>
        <w:t>65</w:t>
      </w:r>
      <w:r w:rsidRPr="00CF1F4A">
        <w:rPr>
          <w:rFonts w:cs="Times New Roman"/>
          <w:i/>
          <w:iCs/>
          <w:sz w:val="20"/>
          <w:u w:val="single"/>
        </w:rPr>
        <w:t>-</w:t>
      </w:r>
      <w:r w:rsidR="00E7178C" w:rsidRPr="00CF1F4A">
        <w:rPr>
          <w:rFonts w:cs="Times New Roman"/>
          <w:i/>
          <w:iCs/>
          <w:sz w:val="20"/>
          <w:u w:val="single"/>
        </w:rPr>
        <w:t>70</w:t>
      </w:r>
      <w:r w:rsidRPr="00CF1F4A">
        <w:rPr>
          <w:rFonts w:cs="Times New Roman"/>
          <w:i/>
          <w:iCs/>
          <w:sz w:val="20"/>
          <w:u w:val="single"/>
        </w:rPr>
        <w:t>.</w:t>
      </w:r>
    </w:p>
    <w:p w:rsidR="00D27191" w:rsidRPr="00CF1F4A" w:rsidRDefault="00D27191" w:rsidP="00D27191">
      <w:pPr>
        <w:pStyle w:val="ListParagraph"/>
        <w:bidi w:val="0"/>
        <w:ind w:left="0"/>
        <w:jc w:val="lowKashida"/>
        <w:rPr>
          <w:rFonts w:cs="Times New Roman"/>
          <w:i/>
          <w:iCs/>
          <w:sz w:val="20"/>
          <w:u w:val="single"/>
        </w:rPr>
      </w:pPr>
    </w:p>
    <w:p w:rsidR="00D27191" w:rsidRPr="00CF1F4A" w:rsidRDefault="00D27191" w:rsidP="00D27191">
      <w:pPr>
        <w:pStyle w:val="Title"/>
        <w:numPr>
          <w:ilvl w:val="0"/>
          <w:numId w:val="2"/>
        </w:numPr>
        <w:bidi w:val="0"/>
        <w:ind w:left="98" w:hanging="308"/>
        <w:jc w:val="left"/>
        <w:rPr>
          <w:rFonts w:cs="Traditional Arabic"/>
          <w:sz w:val="20"/>
          <w:szCs w:val="20"/>
        </w:rPr>
      </w:pPr>
      <w:r w:rsidRPr="00CF1F4A">
        <w:rPr>
          <w:rFonts w:cs="Traditional Arabic"/>
          <w:sz w:val="20"/>
          <w:szCs w:val="20"/>
        </w:rPr>
        <w:t xml:space="preserve">Labor and Wages                               </w:t>
      </w:r>
    </w:p>
    <w:p w:rsidR="00D27191" w:rsidRPr="00CF1F4A" w:rsidRDefault="00D27191" w:rsidP="00D27191">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In 2016, the labor force participation rate in Palestine was 45.8%: 71.6% for males and 19.3% for females.</w:t>
      </w:r>
    </w:p>
    <w:p w:rsidR="00D27191" w:rsidRPr="00CF1F4A" w:rsidRDefault="00D27191" w:rsidP="00E7178C">
      <w:pPr>
        <w:pStyle w:val="BodyText2"/>
        <w:tabs>
          <w:tab w:val="num" w:pos="1211"/>
        </w:tabs>
        <w:overflowPunct/>
        <w:autoSpaceDE/>
        <w:autoSpaceDN/>
        <w:adjustRightInd/>
        <w:jc w:val="both"/>
        <w:textAlignment w:val="auto"/>
        <w:rPr>
          <w:sz w:val="10"/>
          <w:szCs w:val="10"/>
        </w:rPr>
      </w:pPr>
    </w:p>
    <w:p w:rsidR="00D27191" w:rsidRPr="00CF1F4A" w:rsidRDefault="00D27191" w:rsidP="00D27191">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In 2016, the unemployment rate was 26.9% in Palestine: 22.2% for males and 44.7% for females.</w:t>
      </w:r>
    </w:p>
    <w:p w:rsidR="00D27191" w:rsidRPr="00CF1F4A" w:rsidRDefault="00D27191" w:rsidP="00E7178C">
      <w:pPr>
        <w:pStyle w:val="BodyText2"/>
        <w:tabs>
          <w:tab w:val="num" w:pos="1211"/>
        </w:tabs>
        <w:overflowPunct/>
        <w:autoSpaceDE/>
        <w:autoSpaceDN/>
        <w:adjustRightInd/>
        <w:jc w:val="both"/>
        <w:textAlignment w:val="auto"/>
        <w:rPr>
          <w:sz w:val="10"/>
          <w:szCs w:val="10"/>
        </w:rPr>
      </w:pPr>
    </w:p>
    <w:p w:rsidR="00D27191" w:rsidRPr="00CF1F4A" w:rsidRDefault="00D27191" w:rsidP="00D27191">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Most workers (</w:t>
      </w:r>
      <w:r w:rsidRPr="00CF1F4A">
        <w:rPr>
          <w:rFonts w:cs="Times New Roman" w:hint="cs"/>
          <w:rtl/>
        </w:rPr>
        <w:t>69.5</w:t>
      </w:r>
      <w:r w:rsidRPr="00CF1F4A">
        <w:rPr>
          <w:rFonts w:cs="Times New Roman"/>
        </w:rPr>
        <w:t xml:space="preserve">%) in Palestine in </w:t>
      </w:r>
      <w:r w:rsidRPr="00CF1F4A">
        <w:rPr>
          <w:rFonts w:cs="Times New Roman" w:hint="cs"/>
          <w:rtl/>
        </w:rPr>
        <w:t>2016</w:t>
      </w:r>
      <w:r w:rsidRPr="00CF1F4A">
        <w:rPr>
          <w:rFonts w:cs="Times New Roman"/>
        </w:rPr>
        <w:t xml:space="preserve"> were waged employees: </w:t>
      </w:r>
      <w:r w:rsidRPr="00CF1F4A">
        <w:rPr>
          <w:rFonts w:cs="Times New Roman" w:hint="cs"/>
          <w:rtl/>
        </w:rPr>
        <w:t>92.7</w:t>
      </w:r>
      <w:r w:rsidRPr="00CF1F4A">
        <w:rPr>
          <w:rFonts w:cs="Times New Roman"/>
        </w:rPr>
        <w:t>% of workers in Israel and Israeli settlements are waged employees.</w:t>
      </w:r>
    </w:p>
    <w:p w:rsidR="00D27191" w:rsidRPr="00CF1F4A" w:rsidRDefault="00D27191" w:rsidP="00D27191">
      <w:pPr>
        <w:pStyle w:val="BodyText"/>
        <w:overflowPunct/>
        <w:autoSpaceDE/>
        <w:autoSpaceDN/>
        <w:adjustRightInd/>
        <w:ind w:left="142"/>
        <w:jc w:val="lowKashida"/>
        <w:textAlignment w:val="auto"/>
        <w:rPr>
          <w:rFonts w:cs="Times New Roman"/>
        </w:rPr>
      </w:pPr>
    </w:p>
    <w:p w:rsidR="00D27191" w:rsidRPr="00CF1F4A" w:rsidRDefault="00D27191" w:rsidP="00D27191">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hint="cs"/>
          <w:rtl/>
        </w:rPr>
        <w:t>3.9</w:t>
      </w:r>
      <w:r w:rsidRPr="00CF1F4A">
        <w:rPr>
          <w:rFonts w:cs="Times New Roman"/>
        </w:rPr>
        <w:t>% of children in Palestine were in employment: 7.4% male</w:t>
      </w:r>
      <w:r w:rsidR="00C1267E" w:rsidRPr="00CF1F4A">
        <w:rPr>
          <w:rFonts w:cs="Times New Roman"/>
        </w:rPr>
        <w:t>s</w:t>
      </w:r>
      <w:r w:rsidRPr="00CF1F4A">
        <w:rPr>
          <w:rFonts w:cs="Times New Roman"/>
        </w:rPr>
        <w:t xml:space="preserve"> and 0.3% female</w:t>
      </w:r>
      <w:r w:rsidR="00C1267E" w:rsidRPr="00CF1F4A">
        <w:rPr>
          <w:rFonts w:cs="Times New Roman"/>
        </w:rPr>
        <w:t>s</w:t>
      </w:r>
      <w:r w:rsidRPr="00CF1F4A">
        <w:rPr>
          <w:rFonts w:cs="Times New Roman"/>
        </w:rPr>
        <w:t xml:space="preserve"> in 2016.</w:t>
      </w:r>
    </w:p>
    <w:p w:rsidR="00DE03C8" w:rsidRPr="00CF1F4A" w:rsidRDefault="00DE03C8" w:rsidP="00E7178C">
      <w:pPr>
        <w:pStyle w:val="BodyText2"/>
        <w:tabs>
          <w:tab w:val="num" w:pos="1211"/>
        </w:tabs>
        <w:overflowPunct/>
        <w:autoSpaceDE/>
        <w:autoSpaceDN/>
        <w:adjustRightInd/>
        <w:jc w:val="both"/>
        <w:textAlignment w:val="auto"/>
        <w:rPr>
          <w:sz w:val="10"/>
          <w:szCs w:val="10"/>
        </w:rPr>
      </w:pPr>
    </w:p>
    <w:p w:rsidR="00D27191" w:rsidRPr="00CF1F4A" w:rsidRDefault="00C948FF" w:rsidP="006941CB">
      <w:pPr>
        <w:pStyle w:val="BodyText"/>
        <w:overflowPunct/>
        <w:autoSpaceDE/>
        <w:autoSpaceDN/>
        <w:adjustRightInd/>
        <w:ind w:left="142"/>
        <w:jc w:val="center"/>
        <w:textAlignment w:val="auto"/>
        <w:rPr>
          <w:rFonts w:cs="Times New Roman"/>
        </w:rPr>
      </w:pPr>
      <w:r w:rsidRPr="00CF1F4A">
        <w:rPr>
          <w:rFonts w:cs="Times New Roman"/>
          <w:noProof/>
          <w:bdr w:val="single" w:sz="4" w:space="0" w:color="auto"/>
        </w:rPr>
        <w:lastRenderedPageBreak/>
        <w:drawing>
          <wp:inline distT="0" distB="0" distL="0" distR="0">
            <wp:extent cx="3047971" cy="4305600"/>
            <wp:effectExtent l="19050" t="0" r="29" b="0"/>
            <wp:docPr id="17" name="Picture 7" descr="G:\بعد ادخال المواد عليه كتاب فلسطين الاحصائي 2017\الخرائط  الاحصائية 2017\الخرائط 2017\Unemployment_rate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بعد ادخال المواد عليه كتاب فلسطين الاحصائي 2017\الخرائط  الاحصائية 2017\الخرائط 2017\Unemployment_rate_En.png"/>
                    <pic:cNvPicPr>
                      <a:picLocks noChangeAspect="1" noChangeArrowheads="1"/>
                    </pic:cNvPicPr>
                  </pic:nvPicPr>
                  <pic:blipFill>
                    <a:blip r:embed="rId12"/>
                    <a:srcRect/>
                    <a:stretch>
                      <a:fillRect/>
                    </a:stretch>
                  </pic:blipFill>
                  <pic:spPr bwMode="auto">
                    <a:xfrm>
                      <a:off x="0" y="0"/>
                      <a:ext cx="3047971" cy="4305600"/>
                    </a:xfrm>
                    <a:prstGeom prst="rect">
                      <a:avLst/>
                    </a:prstGeom>
                    <a:noFill/>
                    <a:ln w="9525">
                      <a:noFill/>
                      <a:miter lim="800000"/>
                      <a:headEnd/>
                      <a:tailEnd/>
                    </a:ln>
                  </pic:spPr>
                </pic:pic>
              </a:graphicData>
            </a:graphic>
          </wp:inline>
        </w:drawing>
      </w:r>
    </w:p>
    <w:p w:rsidR="00D27191" w:rsidRPr="00CF1F4A" w:rsidRDefault="00D27191" w:rsidP="00D27191">
      <w:pPr>
        <w:pStyle w:val="BodyText"/>
        <w:overflowPunct/>
        <w:autoSpaceDE/>
        <w:autoSpaceDN/>
        <w:adjustRightInd/>
        <w:ind w:left="142"/>
        <w:jc w:val="lowKashida"/>
        <w:textAlignment w:val="auto"/>
        <w:rPr>
          <w:rFonts w:cs="Times New Roman"/>
        </w:rPr>
      </w:pPr>
    </w:p>
    <w:p w:rsidR="00C167AD" w:rsidRPr="00CF1F4A" w:rsidRDefault="00C167AD"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369B2" w:rsidRPr="00CF1F4A" w:rsidRDefault="005369B2" w:rsidP="00D27191">
      <w:pPr>
        <w:jc w:val="center"/>
        <w:rPr>
          <w:rFonts w:ascii="Arial" w:hAnsi="Arial" w:cs="Arial"/>
          <w:b/>
          <w:bCs/>
          <w:snapToGrid w:val="0"/>
          <w:sz w:val="18"/>
          <w:szCs w:val="18"/>
        </w:rPr>
      </w:pPr>
    </w:p>
    <w:p w:rsidR="0056464E" w:rsidRPr="00CF1F4A" w:rsidRDefault="0056464E" w:rsidP="00D27191">
      <w:pPr>
        <w:jc w:val="center"/>
        <w:rPr>
          <w:rFonts w:ascii="Arial" w:hAnsi="Arial" w:cs="Arial"/>
          <w:b/>
          <w:bCs/>
          <w:snapToGrid w:val="0"/>
          <w:sz w:val="18"/>
          <w:szCs w:val="18"/>
        </w:rPr>
      </w:pPr>
    </w:p>
    <w:p w:rsidR="0056464E" w:rsidRPr="00CF1F4A" w:rsidRDefault="0056464E" w:rsidP="00D27191">
      <w:pPr>
        <w:jc w:val="center"/>
        <w:rPr>
          <w:rFonts w:ascii="Arial" w:hAnsi="Arial" w:cs="Arial"/>
          <w:b/>
          <w:bCs/>
          <w:snapToGrid w:val="0"/>
          <w:sz w:val="18"/>
          <w:szCs w:val="18"/>
        </w:rPr>
      </w:pPr>
    </w:p>
    <w:p w:rsidR="0056464E" w:rsidRPr="00CF1F4A" w:rsidRDefault="0056464E" w:rsidP="00D27191">
      <w:pPr>
        <w:jc w:val="center"/>
        <w:rPr>
          <w:rFonts w:ascii="Arial" w:hAnsi="Arial" w:cs="Arial"/>
          <w:b/>
          <w:bCs/>
          <w:snapToGrid w:val="0"/>
          <w:sz w:val="18"/>
          <w:szCs w:val="18"/>
        </w:rPr>
      </w:pPr>
    </w:p>
    <w:p w:rsidR="0056464E" w:rsidRPr="00CF1F4A" w:rsidRDefault="0056464E" w:rsidP="00D27191">
      <w:pPr>
        <w:jc w:val="center"/>
        <w:rPr>
          <w:rFonts w:ascii="Arial" w:hAnsi="Arial" w:cs="Arial"/>
          <w:b/>
          <w:bCs/>
          <w:snapToGrid w:val="0"/>
          <w:sz w:val="18"/>
          <w:szCs w:val="18"/>
        </w:rPr>
      </w:pPr>
    </w:p>
    <w:p w:rsidR="0056464E" w:rsidRPr="00CF1F4A" w:rsidRDefault="0056464E" w:rsidP="00D27191">
      <w:pPr>
        <w:jc w:val="center"/>
        <w:rPr>
          <w:rFonts w:ascii="Arial" w:hAnsi="Arial" w:cs="Arial"/>
          <w:b/>
          <w:bCs/>
          <w:snapToGrid w:val="0"/>
          <w:sz w:val="18"/>
          <w:szCs w:val="18"/>
        </w:rPr>
      </w:pPr>
    </w:p>
    <w:p w:rsidR="0056464E" w:rsidRPr="00CF1F4A" w:rsidRDefault="0056464E" w:rsidP="00D27191">
      <w:pPr>
        <w:jc w:val="center"/>
        <w:rPr>
          <w:rFonts w:ascii="Arial" w:hAnsi="Arial" w:cs="Arial"/>
          <w:b/>
          <w:bCs/>
          <w:snapToGrid w:val="0"/>
          <w:sz w:val="18"/>
          <w:szCs w:val="18"/>
        </w:rPr>
      </w:pPr>
    </w:p>
    <w:p w:rsidR="00D27191" w:rsidRPr="00CF1F4A" w:rsidRDefault="00D27191" w:rsidP="00D27191">
      <w:pPr>
        <w:jc w:val="center"/>
        <w:rPr>
          <w:rFonts w:ascii="Arial" w:hAnsi="Arial" w:cs="Arial"/>
          <w:b/>
          <w:bCs/>
          <w:snapToGrid w:val="0"/>
          <w:sz w:val="18"/>
          <w:szCs w:val="18"/>
        </w:rPr>
      </w:pPr>
      <w:r w:rsidRPr="00CF1F4A">
        <w:rPr>
          <w:rFonts w:ascii="Arial" w:hAnsi="Arial" w:cs="Arial"/>
          <w:b/>
          <w:bCs/>
          <w:snapToGrid w:val="0"/>
          <w:sz w:val="18"/>
          <w:szCs w:val="18"/>
        </w:rPr>
        <w:lastRenderedPageBreak/>
        <w:t>Percentage of Population (15 Years and Above) in Palestine by Labor Force Status and Age Groups, 2016</w:t>
      </w:r>
    </w:p>
    <w:p w:rsidR="00D27191" w:rsidRPr="00CF1F4A" w:rsidRDefault="00D27191" w:rsidP="00D27191">
      <w:pPr>
        <w:jc w:val="center"/>
        <w:rPr>
          <w:rFonts w:ascii="Arial" w:hAnsi="Arial" w:cs="Arial"/>
          <w:b/>
          <w:bCs/>
          <w:snapToGrid w:val="0"/>
          <w:sz w:val="10"/>
          <w:szCs w:val="10"/>
        </w:rPr>
      </w:pPr>
    </w:p>
    <w:p w:rsidR="00D27191" w:rsidRPr="00CF1F4A" w:rsidRDefault="00D27191" w:rsidP="00D27191">
      <w:pPr>
        <w:jc w:val="lowKashida"/>
        <w:rPr>
          <w:b/>
          <w:bCs/>
          <w:rtl/>
        </w:rPr>
      </w:pPr>
      <w:r w:rsidRPr="00CF1F4A">
        <w:rPr>
          <w:noProof/>
          <w:bdr w:val="single" w:sz="4" w:space="0" w:color="auto"/>
          <w:vertAlign w:val="subscript"/>
        </w:rPr>
        <w:drawing>
          <wp:inline distT="0" distB="0" distL="0" distR="0">
            <wp:extent cx="4315968" cy="1806854"/>
            <wp:effectExtent l="0" t="0" r="0" b="0"/>
            <wp:docPr id="2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27191" w:rsidRPr="00CF1F4A" w:rsidRDefault="00D27191" w:rsidP="0077340B">
      <w:pPr>
        <w:pStyle w:val="ListParagraph"/>
        <w:bidi w:val="0"/>
        <w:ind w:left="0"/>
        <w:jc w:val="lowKashida"/>
        <w:rPr>
          <w:rFonts w:cs="Times New Roman"/>
          <w:i/>
          <w:iCs/>
          <w:sz w:val="20"/>
          <w:u w:val="single"/>
        </w:rPr>
      </w:pPr>
      <w:r w:rsidRPr="00CF1F4A">
        <w:rPr>
          <w:rFonts w:cs="Times New Roman"/>
          <w:i/>
          <w:iCs/>
          <w:sz w:val="20"/>
          <w:u w:val="single"/>
        </w:rPr>
        <w:t>For more details on labor and wages, see the tables in chapter 1.</w:t>
      </w:r>
      <w:r w:rsidR="0077340B" w:rsidRPr="00CF1F4A">
        <w:rPr>
          <w:rFonts w:cs="Times New Roman"/>
          <w:i/>
          <w:iCs/>
          <w:sz w:val="20"/>
          <w:u w:val="single"/>
        </w:rPr>
        <w:t>5</w:t>
      </w:r>
      <w:r w:rsidRPr="00CF1F4A">
        <w:rPr>
          <w:rFonts w:cs="Times New Roman"/>
          <w:i/>
          <w:iCs/>
          <w:sz w:val="20"/>
          <w:u w:val="single"/>
        </w:rPr>
        <w:t xml:space="preserve"> of the Arabic section, pages</w:t>
      </w:r>
      <w:r w:rsidRPr="00CF1F4A">
        <w:rPr>
          <w:rFonts w:cs="Times New Roman"/>
          <w:i/>
          <w:iCs/>
          <w:noProof w:val="0"/>
          <w:sz w:val="20"/>
          <w:u w:val="single"/>
          <w:rtl/>
        </w:rPr>
        <w:t xml:space="preserve"> </w:t>
      </w:r>
      <w:r w:rsidR="00C66555" w:rsidRPr="00CF1F4A">
        <w:rPr>
          <w:rFonts w:cs="Times New Roman"/>
          <w:i/>
          <w:iCs/>
          <w:sz w:val="20"/>
          <w:u w:val="single"/>
        </w:rPr>
        <w:t>71</w:t>
      </w:r>
      <w:r w:rsidRPr="00CF1F4A">
        <w:rPr>
          <w:rFonts w:cs="Times New Roman"/>
          <w:i/>
          <w:iCs/>
          <w:sz w:val="20"/>
          <w:u w:val="single"/>
        </w:rPr>
        <w:t>-</w:t>
      </w:r>
      <w:r w:rsidR="00C66555" w:rsidRPr="00CF1F4A">
        <w:rPr>
          <w:rFonts w:cs="Times New Roman"/>
          <w:i/>
          <w:iCs/>
          <w:sz w:val="20"/>
          <w:u w:val="single"/>
        </w:rPr>
        <w:t>84</w:t>
      </w:r>
      <w:r w:rsidRPr="00CF1F4A">
        <w:rPr>
          <w:rFonts w:cs="Times New Roman"/>
          <w:i/>
          <w:iCs/>
          <w:sz w:val="20"/>
          <w:u w:val="single"/>
        </w:rPr>
        <w:t>.</w:t>
      </w:r>
    </w:p>
    <w:p w:rsidR="00D27191" w:rsidRPr="00CF1F4A" w:rsidRDefault="00D27191" w:rsidP="00D27191">
      <w:pPr>
        <w:pStyle w:val="ListParagraph"/>
        <w:bidi w:val="0"/>
        <w:ind w:left="0"/>
        <w:jc w:val="lowKashida"/>
        <w:rPr>
          <w:rFonts w:cs="Times New Roman"/>
          <w:i/>
          <w:iCs/>
          <w:sz w:val="20"/>
          <w:u w:val="single"/>
        </w:rPr>
      </w:pPr>
    </w:p>
    <w:p w:rsidR="00D27191" w:rsidRPr="00CF1F4A" w:rsidRDefault="00D27191" w:rsidP="00D27191">
      <w:pPr>
        <w:pStyle w:val="Title"/>
        <w:numPr>
          <w:ilvl w:val="0"/>
          <w:numId w:val="2"/>
        </w:numPr>
        <w:bidi w:val="0"/>
        <w:ind w:left="98" w:hanging="308"/>
        <w:jc w:val="left"/>
        <w:rPr>
          <w:rFonts w:cs="Traditional Arabic"/>
          <w:sz w:val="20"/>
          <w:szCs w:val="20"/>
        </w:rPr>
      </w:pPr>
      <w:r w:rsidRPr="00CF1F4A">
        <w:rPr>
          <w:rFonts w:cs="Traditional Arabic"/>
          <w:sz w:val="20"/>
          <w:szCs w:val="20"/>
        </w:rPr>
        <w:t>Living Standards</w:t>
      </w:r>
    </w:p>
    <w:p w:rsidR="001D4AEF" w:rsidRPr="00CF1F4A" w:rsidRDefault="001D4AEF" w:rsidP="001D4AEF">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The consumption data indicated that the total rate of poverty among Palestinian individuals in Palestine was 25.8% in 201</w:t>
      </w:r>
      <w:r w:rsidRPr="00CF1F4A">
        <w:rPr>
          <w:rFonts w:cs="Times New Roman"/>
          <w:rtl/>
        </w:rPr>
        <w:t>1</w:t>
      </w:r>
      <w:r w:rsidRPr="00CF1F4A">
        <w:rPr>
          <w:rFonts w:cs="Times New Roman"/>
        </w:rPr>
        <w:t xml:space="preserve">: </w:t>
      </w:r>
      <w:r w:rsidRPr="00CF1F4A">
        <w:rPr>
          <w:rFonts w:cs="Times New Roman"/>
          <w:rtl/>
        </w:rPr>
        <w:t>17.</w:t>
      </w:r>
      <w:r w:rsidRPr="00CF1F4A">
        <w:rPr>
          <w:rFonts w:cs="Times New Roman"/>
        </w:rPr>
        <w:t>8% in the West Bank and 38.8% in Gaza Strip.</w:t>
      </w:r>
    </w:p>
    <w:p w:rsidR="001D4AEF" w:rsidRPr="00CF1F4A" w:rsidRDefault="001D4AEF" w:rsidP="00E7178C">
      <w:pPr>
        <w:pStyle w:val="BodyText2"/>
        <w:tabs>
          <w:tab w:val="num" w:pos="1211"/>
        </w:tabs>
        <w:overflowPunct/>
        <w:autoSpaceDE/>
        <w:autoSpaceDN/>
        <w:adjustRightInd/>
        <w:jc w:val="both"/>
        <w:textAlignment w:val="auto"/>
        <w:rPr>
          <w:sz w:val="10"/>
          <w:szCs w:val="10"/>
        </w:rPr>
      </w:pPr>
    </w:p>
    <w:p w:rsidR="001D4AEF" w:rsidRPr="00CF1F4A" w:rsidRDefault="001D4AEF" w:rsidP="001D4AEF">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 xml:space="preserve">The consumption data indicated that </w:t>
      </w:r>
      <w:r w:rsidRPr="00CF1F4A">
        <w:rPr>
          <w:rFonts w:cs="Times New Roman"/>
          <w:rtl/>
        </w:rPr>
        <w:t>12.</w:t>
      </w:r>
      <w:r w:rsidRPr="00CF1F4A">
        <w:rPr>
          <w:rFonts w:cs="Times New Roman"/>
        </w:rPr>
        <w:t>9% of individuals in Palestine suffered from deep poverty in 201</w:t>
      </w:r>
      <w:r w:rsidRPr="00CF1F4A">
        <w:rPr>
          <w:rFonts w:cs="Times New Roman"/>
          <w:rtl/>
        </w:rPr>
        <w:t>1</w:t>
      </w:r>
      <w:r w:rsidRPr="00CF1F4A">
        <w:rPr>
          <w:rFonts w:cs="Times New Roman"/>
        </w:rPr>
        <w:t xml:space="preserve">: </w:t>
      </w:r>
      <w:r w:rsidRPr="00CF1F4A">
        <w:rPr>
          <w:rFonts w:cs="Times New Roman"/>
          <w:rtl/>
        </w:rPr>
        <w:t>7.</w:t>
      </w:r>
      <w:r w:rsidRPr="00CF1F4A">
        <w:rPr>
          <w:rFonts w:cs="Times New Roman"/>
        </w:rPr>
        <w:t xml:space="preserve">8% in the West Bank and </w:t>
      </w:r>
      <w:r w:rsidRPr="00CF1F4A">
        <w:rPr>
          <w:rFonts w:cs="Times New Roman"/>
          <w:rtl/>
        </w:rPr>
        <w:t>21.1</w:t>
      </w:r>
      <w:r w:rsidRPr="00CF1F4A">
        <w:rPr>
          <w:rFonts w:cs="Times New Roman"/>
        </w:rPr>
        <w:t>% in Gaza Strip.</w:t>
      </w:r>
    </w:p>
    <w:p w:rsidR="001D4AEF" w:rsidRPr="00CF1F4A" w:rsidRDefault="001D4AEF" w:rsidP="00E7178C">
      <w:pPr>
        <w:pStyle w:val="BodyText2"/>
        <w:tabs>
          <w:tab w:val="num" w:pos="1211"/>
        </w:tabs>
        <w:overflowPunct/>
        <w:autoSpaceDE/>
        <w:autoSpaceDN/>
        <w:adjustRightInd/>
        <w:jc w:val="both"/>
        <w:textAlignment w:val="auto"/>
        <w:rPr>
          <w:sz w:val="10"/>
          <w:szCs w:val="10"/>
        </w:rPr>
      </w:pPr>
    </w:p>
    <w:p w:rsidR="00D27191" w:rsidRPr="00CF1F4A" w:rsidRDefault="00D27191" w:rsidP="00D27191">
      <w:pPr>
        <w:pStyle w:val="BodyText"/>
        <w:numPr>
          <w:ilvl w:val="0"/>
          <w:numId w:val="3"/>
        </w:numPr>
        <w:overflowPunct/>
        <w:autoSpaceDE/>
        <w:autoSpaceDN/>
        <w:adjustRightInd/>
        <w:ind w:left="142" w:hanging="142"/>
        <w:jc w:val="lowKashida"/>
        <w:textAlignment w:val="auto"/>
      </w:pPr>
      <w:r w:rsidRPr="00CF1F4A">
        <w:t xml:space="preserve">Average Monthly Per Capita Expenditure in 2011: Data revealed that monthly per capita expenditure was JD 158.2: JD 188.1 in the West Bank and JD 109.8 in Gaza Strip.  Monthly per capita expenditure on food groups was JD 56.9: JD 64.3 in the West Bank and JD 44.8 in Gaza Strip, while average monthly per capita expenditure on non-food groups was JD 86.9: JD 108.1 in the West Bank and JD 52.4 in Gaza Strip.  </w:t>
      </w:r>
    </w:p>
    <w:p w:rsidR="00D27191" w:rsidRPr="00CF1F4A" w:rsidRDefault="00D27191" w:rsidP="00D27191">
      <w:pPr>
        <w:ind w:left="-218"/>
        <w:jc w:val="both"/>
        <w:rPr>
          <w:noProof/>
          <w:sz w:val="10"/>
          <w:szCs w:val="10"/>
        </w:rPr>
      </w:pPr>
    </w:p>
    <w:p w:rsidR="00D27191" w:rsidRPr="00CF1F4A" w:rsidRDefault="00D27191" w:rsidP="001F11DC">
      <w:pPr>
        <w:pStyle w:val="BodyText"/>
        <w:numPr>
          <w:ilvl w:val="0"/>
          <w:numId w:val="3"/>
        </w:numPr>
        <w:overflowPunct/>
        <w:autoSpaceDE/>
        <w:autoSpaceDN/>
        <w:adjustRightInd/>
        <w:ind w:left="142" w:hanging="142"/>
        <w:jc w:val="lowKashida"/>
        <w:textAlignment w:val="auto"/>
      </w:pPr>
      <w:r w:rsidRPr="00CF1F4A">
        <w:t xml:space="preserve">Average Monthly Per Capita Consumption in 2011: Average monthly per capita consumption in Palestine was JD 165.0: JD 196.5 in the West Bank </w:t>
      </w:r>
      <w:r w:rsidR="001F11DC" w:rsidRPr="00CF1F4A">
        <w:t>and</w:t>
      </w:r>
      <w:r w:rsidRPr="00CF1F4A">
        <w:t xml:space="preserve"> JD 113.9 in Gaza Strip.  Monthly per capita consumption of food was JD 58.8: JD 66.9 in the West Bank and JD 45.5 in Gaza Strip. Monthly per capita consumption of non-food items was JD 106.3: JD 129.6 in the West Bank and JD 68.4 in Gaza Strip.</w:t>
      </w:r>
    </w:p>
    <w:p w:rsidR="001D4AEF" w:rsidRPr="00CF1F4A" w:rsidRDefault="001D4AEF" w:rsidP="00D27191">
      <w:pPr>
        <w:pStyle w:val="ListParagraph"/>
        <w:rPr>
          <w:sz w:val="18"/>
          <w:szCs w:val="14"/>
          <w:rtl/>
        </w:rPr>
      </w:pPr>
    </w:p>
    <w:p w:rsidR="00D27191" w:rsidRPr="00CF1F4A" w:rsidRDefault="00D27191" w:rsidP="001F11DC">
      <w:pPr>
        <w:jc w:val="center"/>
        <w:rPr>
          <w:rFonts w:ascii="Arial" w:hAnsi="Arial" w:cs="Arial"/>
          <w:b/>
          <w:bCs/>
          <w:sz w:val="18"/>
          <w:szCs w:val="18"/>
        </w:rPr>
      </w:pPr>
      <w:r w:rsidRPr="00CF1F4A">
        <w:rPr>
          <w:rFonts w:ascii="Arial" w:hAnsi="Arial" w:cs="Arial"/>
          <w:b/>
          <w:bCs/>
          <w:sz w:val="18"/>
          <w:szCs w:val="18"/>
        </w:rPr>
        <w:t>Poverty Rates of Population in Palestine by Region</w:t>
      </w:r>
      <w:r w:rsidR="001F11DC" w:rsidRPr="00CF1F4A">
        <w:rPr>
          <w:rFonts w:ascii="Arial" w:hAnsi="Arial" w:cs="Arial"/>
          <w:b/>
          <w:bCs/>
          <w:sz w:val="18"/>
          <w:szCs w:val="18"/>
        </w:rPr>
        <w:t>, 2010</w:t>
      </w:r>
      <w:r w:rsidRPr="00CF1F4A">
        <w:rPr>
          <w:rFonts w:ascii="Arial" w:hAnsi="Arial" w:cs="Arial"/>
          <w:b/>
          <w:bCs/>
          <w:sz w:val="18"/>
          <w:szCs w:val="18"/>
        </w:rPr>
        <w:t>, 2011</w:t>
      </w:r>
    </w:p>
    <w:p w:rsidR="00D27191" w:rsidRPr="00CF1F4A" w:rsidRDefault="00D27191" w:rsidP="00D27191">
      <w:pPr>
        <w:jc w:val="center"/>
        <w:rPr>
          <w:rFonts w:ascii="Arial" w:hAnsi="Arial" w:cs="Arial"/>
          <w:b/>
          <w:bCs/>
          <w:sz w:val="10"/>
          <w:szCs w:val="10"/>
        </w:rPr>
      </w:pPr>
    </w:p>
    <w:p w:rsidR="00D27191" w:rsidRPr="00CF1F4A" w:rsidRDefault="00D27191" w:rsidP="00D27191">
      <w:pPr>
        <w:jc w:val="center"/>
        <w:rPr>
          <w:rtl/>
        </w:rPr>
      </w:pPr>
      <w:r w:rsidRPr="00CF1F4A">
        <w:rPr>
          <w:noProof/>
          <w:bdr w:val="single" w:sz="4" w:space="0" w:color="auto"/>
        </w:rPr>
        <w:drawing>
          <wp:inline distT="0" distB="0" distL="0" distR="0">
            <wp:extent cx="4483100" cy="1174750"/>
            <wp:effectExtent l="0" t="0" r="0" b="0"/>
            <wp:docPr id="2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27191" w:rsidRPr="00CF1F4A" w:rsidRDefault="00D27191" w:rsidP="00AD458B">
      <w:pPr>
        <w:pStyle w:val="ListParagraph"/>
        <w:bidi w:val="0"/>
        <w:ind w:left="142"/>
        <w:jc w:val="lowKashida"/>
        <w:rPr>
          <w:rFonts w:cs="Times New Roman"/>
          <w:i/>
          <w:iCs/>
          <w:sz w:val="20"/>
          <w:u w:val="single"/>
        </w:rPr>
      </w:pPr>
      <w:r w:rsidRPr="00CF1F4A">
        <w:rPr>
          <w:rFonts w:cs="Times New Roman"/>
          <w:i/>
          <w:iCs/>
          <w:sz w:val="20"/>
          <w:u w:val="single"/>
        </w:rPr>
        <w:t>For more details on living standards, see the tables in chapter 1.</w:t>
      </w:r>
      <w:r w:rsidR="0077340B" w:rsidRPr="00CF1F4A">
        <w:rPr>
          <w:rFonts w:cs="Times New Roman"/>
          <w:i/>
          <w:iCs/>
          <w:sz w:val="20"/>
          <w:u w:val="single"/>
        </w:rPr>
        <w:t>6</w:t>
      </w:r>
      <w:r w:rsidRPr="00CF1F4A">
        <w:rPr>
          <w:rFonts w:cs="Times New Roman"/>
          <w:i/>
          <w:iCs/>
          <w:sz w:val="20"/>
          <w:u w:val="single"/>
        </w:rPr>
        <w:t xml:space="preserve"> of the Arabic section, pages </w:t>
      </w:r>
      <w:r w:rsidR="0075035D" w:rsidRPr="00CF1F4A">
        <w:rPr>
          <w:rFonts w:cs="Times New Roman"/>
          <w:i/>
          <w:iCs/>
          <w:sz w:val="20"/>
          <w:u w:val="single"/>
        </w:rPr>
        <w:t>85</w:t>
      </w:r>
      <w:r w:rsidRPr="00CF1F4A">
        <w:rPr>
          <w:rFonts w:cs="Times New Roman"/>
          <w:i/>
          <w:iCs/>
          <w:sz w:val="20"/>
          <w:u w:val="single"/>
        </w:rPr>
        <w:t>-</w:t>
      </w:r>
      <w:r w:rsidR="0075035D" w:rsidRPr="00CF1F4A">
        <w:rPr>
          <w:rFonts w:cs="Times New Roman"/>
          <w:i/>
          <w:iCs/>
          <w:sz w:val="20"/>
          <w:u w:val="single"/>
        </w:rPr>
        <w:t>90</w:t>
      </w:r>
      <w:r w:rsidRPr="00CF1F4A">
        <w:rPr>
          <w:rFonts w:cs="Times New Roman"/>
          <w:i/>
          <w:iCs/>
          <w:sz w:val="20"/>
          <w:u w:val="single"/>
        </w:rPr>
        <w:t>.</w:t>
      </w:r>
    </w:p>
    <w:p w:rsidR="00D27191" w:rsidRPr="00CF1F4A" w:rsidRDefault="00D27191" w:rsidP="00D27191">
      <w:pPr>
        <w:pStyle w:val="ListParagraph"/>
        <w:bidi w:val="0"/>
        <w:ind w:left="0"/>
        <w:jc w:val="lowKashida"/>
        <w:rPr>
          <w:rFonts w:cs="Times New Roman"/>
          <w:i/>
          <w:iCs/>
          <w:sz w:val="20"/>
          <w:u w:val="single"/>
        </w:rPr>
      </w:pPr>
    </w:p>
    <w:p w:rsidR="00D27191" w:rsidRPr="00CF1F4A" w:rsidRDefault="00D27191" w:rsidP="00D27191">
      <w:pPr>
        <w:pStyle w:val="Title"/>
        <w:numPr>
          <w:ilvl w:val="0"/>
          <w:numId w:val="2"/>
        </w:numPr>
        <w:bidi w:val="0"/>
        <w:ind w:left="98" w:hanging="308"/>
        <w:jc w:val="left"/>
        <w:rPr>
          <w:rFonts w:cs="Traditional Arabic"/>
          <w:sz w:val="20"/>
          <w:szCs w:val="20"/>
        </w:rPr>
      </w:pPr>
      <w:r w:rsidRPr="00CF1F4A">
        <w:rPr>
          <w:rFonts w:cs="Traditional Arabic"/>
          <w:sz w:val="20"/>
          <w:szCs w:val="20"/>
        </w:rPr>
        <w:lastRenderedPageBreak/>
        <w:t xml:space="preserve">Education </w:t>
      </w:r>
    </w:p>
    <w:p w:rsidR="00D27191" w:rsidRPr="00CF1F4A" w:rsidRDefault="00D27191" w:rsidP="001F11DC">
      <w:pPr>
        <w:pStyle w:val="BodyText"/>
        <w:numPr>
          <w:ilvl w:val="0"/>
          <w:numId w:val="3"/>
        </w:numPr>
        <w:tabs>
          <w:tab w:val="num" w:pos="1211"/>
        </w:tabs>
        <w:overflowPunct/>
        <w:autoSpaceDE/>
        <w:autoSpaceDN/>
        <w:adjustRightInd/>
        <w:ind w:left="142" w:hanging="142"/>
        <w:jc w:val="left"/>
        <w:textAlignment w:val="auto"/>
        <w:rPr>
          <w:rFonts w:cs="Times New Roman"/>
        </w:rPr>
      </w:pPr>
      <w:r w:rsidRPr="00CF1F4A">
        <w:rPr>
          <w:rFonts w:cs="Times New Roman"/>
        </w:rPr>
        <w:t>The total number of schools in Palestine in 2016/2017 was 2,9</w:t>
      </w:r>
      <w:r w:rsidRPr="00CF1F4A">
        <w:rPr>
          <w:rFonts w:cs="Times New Roman"/>
          <w:rtl/>
        </w:rPr>
        <w:t>63</w:t>
      </w:r>
      <w:r w:rsidRPr="00CF1F4A">
        <w:rPr>
          <w:rFonts w:cs="Times New Roman"/>
        </w:rPr>
        <w:t xml:space="preserve"> comprising 2,249 in the West Bank and 714 in Gaza Strip.</w:t>
      </w:r>
      <w:r w:rsidRPr="00CF1F4A">
        <w:rPr>
          <w:rFonts w:cs="Times New Roman"/>
          <w:noProof/>
        </w:rPr>
        <w:t xml:space="preserve"> </w:t>
      </w:r>
    </w:p>
    <w:p w:rsidR="00F52F83" w:rsidRPr="00CF1F4A" w:rsidRDefault="00F52F83" w:rsidP="00F52F83">
      <w:pPr>
        <w:pStyle w:val="BodyText"/>
        <w:tabs>
          <w:tab w:val="num" w:pos="1211"/>
        </w:tabs>
        <w:overflowPunct/>
        <w:autoSpaceDE/>
        <w:autoSpaceDN/>
        <w:adjustRightInd/>
        <w:jc w:val="left"/>
        <w:textAlignment w:val="auto"/>
        <w:rPr>
          <w:sz w:val="10"/>
          <w:szCs w:val="10"/>
        </w:rPr>
      </w:pPr>
    </w:p>
    <w:p w:rsidR="00AD458B" w:rsidRPr="00CF1F4A" w:rsidRDefault="00D27191" w:rsidP="00AD458B">
      <w:pPr>
        <w:pStyle w:val="BodyText"/>
        <w:numPr>
          <w:ilvl w:val="0"/>
          <w:numId w:val="3"/>
        </w:numPr>
        <w:tabs>
          <w:tab w:val="num" w:pos="1211"/>
        </w:tabs>
        <w:overflowPunct/>
        <w:autoSpaceDE/>
        <w:autoSpaceDN/>
        <w:adjustRightInd/>
        <w:ind w:left="142" w:hanging="142"/>
        <w:jc w:val="left"/>
        <w:textAlignment w:val="auto"/>
        <w:rPr>
          <w:rFonts w:cs="Times New Roman"/>
        </w:rPr>
      </w:pPr>
      <w:r w:rsidRPr="00CF1F4A">
        <w:rPr>
          <w:rFonts w:cs="Times New Roman"/>
        </w:rPr>
        <w:t>The  total  number of students was 1,</w:t>
      </w:r>
      <w:r w:rsidRPr="00CF1F4A">
        <w:rPr>
          <w:rFonts w:cs="Times New Roman"/>
          <w:rtl/>
        </w:rPr>
        <w:t>229</w:t>
      </w:r>
      <w:r w:rsidRPr="00CF1F4A">
        <w:rPr>
          <w:rFonts w:cs="Times New Roman"/>
        </w:rPr>
        <w:t>,</w:t>
      </w:r>
      <w:r w:rsidRPr="00CF1F4A">
        <w:rPr>
          <w:rFonts w:cs="Times New Roman"/>
          <w:rtl/>
        </w:rPr>
        <w:t>756</w:t>
      </w:r>
      <w:r w:rsidRPr="00CF1F4A">
        <w:rPr>
          <w:rFonts w:cs="Times New Roman"/>
        </w:rPr>
        <w:t>: 1,084,953 at basic stage and 144,803 at secondary stage.</w:t>
      </w:r>
    </w:p>
    <w:p w:rsidR="00AD458B" w:rsidRPr="00CF1F4A" w:rsidRDefault="00AD458B" w:rsidP="00AD458B">
      <w:pPr>
        <w:pStyle w:val="BodyText"/>
        <w:tabs>
          <w:tab w:val="num" w:pos="1211"/>
        </w:tabs>
        <w:overflowPunct/>
        <w:autoSpaceDE/>
        <w:autoSpaceDN/>
        <w:adjustRightInd/>
        <w:jc w:val="left"/>
        <w:textAlignment w:val="auto"/>
        <w:rPr>
          <w:rFonts w:cs="Times New Roman"/>
          <w:sz w:val="10"/>
          <w:szCs w:val="10"/>
        </w:rPr>
      </w:pPr>
    </w:p>
    <w:p w:rsidR="00D27191" w:rsidRPr="00CF1F4A" w:rsidRDefault="00C948FF" w:rsidP="00071895">
      <w:pPr>
        <w:pStyle w:val="BodyText"/>
        <w:overflowPunct/>
        <w:autoSpaceDE/>
        <w:autoSpaceDN/>
        <w:adjustRightInd/>
        <w:jc w:val="center"/>
        <w:textAlignment w:val="auto"/>
        <w:rPr>
          <w:rtl/>
        </w:rPr>
      </w:pPr>
      <w:r w:rsidRPr="00CF1F4A">
        <w:rPr>
          <w:noProof/>
          <w:bdr w:val="single" w:sz="4" w:space="0" w:color="auto"/>
        </w:rPr>
        <w:drawing>
          <wp:inline distT="0" distB="0" distL="0" distR="0">
            <wp:extent cx="3340290" cy="4716000"/>
            <wp:effectExtent l="19050" t="0" r="0" b="0"/>
            <wp:docPr id="13" name="Picture 4" descr="G:\بعد ادخال المواد عليه كتاب فلسطين الاحصائي 2017\الخرائط  الاحصائية 2017\الخرائط 2017\illiterate_rate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بعد ادخال المواد عليه كتاب فلسطين الاحصائي 2017\الخرائط  الاحصائية 2017\الخرائط 2017\illiterate_rate_En.png"/>
                    <pic:cNvPicPr>
                      <a:picLocks noChangeAspect="1" noChangeArrowheads="1"/>
                    </pic:cNvPicPr>
                  </pic:nvPicPr>
                  <pic:blipFill>
                    <a:blip r:embed="rId15"/>
                    <a:srcRect/>
                    <a:stretch>
                      <a:fillRect/>
                    </a:stretch>
                  </pic:blipFill>
                  <pic:spPr bwMode="auto">
                    <a:xfrm>
                      <a:off x="0" y="0"/>
                      <a:ext cx="3340290" cy="4716000"/>
                    </a:xfrm>
                    <a:prstGeom prst="rect">
                      <a:avLst/>
                    </a:prstGeom>
                    <a:noFill/>
                    <a:ln w="9525">
                      <a:noFill/>
                      <a:miter lim="800000"/>
                      <a:headEnd/>
                      <a:tailEnd/>
                    </a:ln>
                  </pic:spPr>
                </pic:pic>
              </a:graphicData>
            </a:graphic>
          </wp:inline>
        </w:drawing>
      </w:r>
    </w:p>
    <w:p w:rsidR="00663965" w:rsidRPr="00CF1F4A" w:rsidRDefault="00663965" w:rsidP="00D27191">
      <w:pPr>
        <w:pStyle w:val="BodyText"/>
        <w:overflowPunct/>
        <w:autoSpaceDE/>
        <w:autoSpaceDN/>
        <w:adjustRightInd/>
        <w:jc w:val="left"/>
        <w:textAlignment w:val="auto"/>
      </w:pPr>
    </w:p>
    <w:p w:rsidR="00D27191" w:rsidRPr="00CF1F4A" w:rsidRDefault="00D27191" w:rsidP="004B0842">
      <w:pPr>
        <w:pStyle w:val="BodyText"/>
        <w:numPr>
          <w:ilvl w:val="0"/>
          <w:numId w:val="3"/>
        </w:numPr>
        <w:tabs>
          <w:tab w:val="num" w:pos="1211"/>
        </w:tabs>
        <w:overflowPunct/>
        <w:autoSpaceDE/>
        <w:autoSpaceDN/>
        <w:adjustRightInd/>
        <w:ind w:left="142" w:hanging="142"/>
        <w:textAlignment w:val="auto"/>
        <w:rPr>
          <w:rFonts w:cs="Times New Roman"/>
        </w:rPr>
      </w:pPr>
      <w:r w:rsidRPr="00CF1F4A">
        <w:rPr>
          <w:rFonts w:cs="Times New Roman"/>
        </w:rPr>
        <w:t>The average number  of students per class in basic stage by supervisory authority was 30.0 in government</w:t>
      </w:r>
      <w:r w:rsidR="00926CEA" w:rsidRPr="00CF1F4A">
        <w:rPr>
          <w:rFonts w:cs="Times New Roman"/>
        </w:rPr>
        <w:t>al</w:t>
      </w:r>
      <w:r w:rsidRPr="00CF1F4A">
        <w:rPr>
          <w:rFonts w:cs="Times New Roman"/>
        </w:rPr>
        <w:t xml:space="preserve"> schools, 38.3 in UNRWA schools, and 2</w:t>
      </w:r>
      <w:r w:rsidRPr="00CF1F4A">
        <w:rPr>
          <w:rFonts w:cs="Times New Roman"/>
          <w:rtl/>
        </w:rPr>
        <w:t>2</w:t>
      </w:r>
      <w:r w:rsidRPr="00CF1F4A">
        <w:rPr>
          <w:rFonts w:cs="Times New Roman"/>
        </w:rPr>
        <w:t>.6 in private schools. The average number of students per class in secondary stage was 27.0 in government</w:t>
      </w:r>
      <w:r w:rsidR="00926CEA" w:rsidRPr="00CF1F4A">
        <w:rPr>
          <w:rFonts w:cs="Times New Roman"/>
        </w:rPr>
        <w:t>al</w:t>
      </w:r>
      <w:r w:rsidRPr="00CF1F4A">
        <w:rPr>
          <w:rFonts w:cs="Times New Roman"/>
        </w:rPr>
        <w:t xml:space="preserve"> schools and 18.7 in private schools.</w:t>
      </w:r>
    </w:p>
    <w:p w:rsidR="00D27191" w:rsidRPr="00CF1F4A" w:rsidRDefault="00D27191" w:rsidP="0077340B">
      <w:pPr>
        <w:pStyle w:val="ListParagraph"/>
        <w:bidi w:val="0"/>
        <w:ind w:left="0"/>
        <w:jc w:val="lowKashida"/>
        <w:rPr>
          <w:rFonts w:cs="Times New Roman"/>
          <w:i/>
          <w:iCs/>
          <w:sz w:val="20"/>
          <w:u w:val="single"/>
        </w:rPr>
      </w:pPr>
      <w:r w:rsidRPr="00CF1F4A">
        <w:rPr>
          <w:rFonts w:cs="Times New Roman"/>
          <w:i/>
          <w:iCs/>
          <w:sz w:val="20"/>
          <w:u w:val="single"/>
        </w:rPr>
        <w:t>For more details about education, see the tables in chapter 1.</w:t>
      </w:r>
      <w:r w:rsidR="0077340B" w:rsidRPr="00CF1F4A">
        <w:rPr>
          <w:rFonts w:cs="Times New Roman"/>
          <w:i/>
          <w:iCs/>
          <w:sz w:val="20"/>
          <w:u w:val="single"/>
        </w:rPr>
        <w:t>7</w:t>
      </w:r>
      <w:r w:rsidRPr="00CF1F4A">
        <w:rPr>
          <w:rFonts w:cs="Times New Roman"/>
          <w:i/>
          <w:iCs/>
          <w:sz w:val="20"/>
          <w:u w:val="single"/>
        </w:rPr>
        <w:t xml:space="preserve"> of the Arabic section, pages </w:t>
      </w:r>
      <w:r w:rsidR="004B0842" w:rsidRPr="00CF1F4A">
        <w:rPr>
          <w:rFonts w:cs="Times New Roman"/>
          <w:i/>
          <w:iCs/>
          <w:sz w:val="20"/>
          <w:u w:val="single"/>
        </w:rPr>
        <w:t>91</w:t>
      </w:r>
      <w:r w:rsidRPr="00CF1F4A">
        <w:rPr>
          <w:rFonts w:cs="Times New Roman"/>
          <w:i/>
          <w:iCs/>
          <w:sz w:val="20"/>
          <w:u w:val="single"/>
        </w:rPr>
        <w:t>-</w:t>
      </w:r>
      <w:r w:rsidR="004B0842" w:rsidRPr="00CF1F4A">
        <w:rPr>
          <w:rFonts w:cs="Times New Roman"/>
          <w:i/>
          <w:iCs/>
          <w:sz w:val="20"/>
          <w:u w:val="single"/>
        </w:rPr>
        <w:t>104</w:t>
      </w:r>
      <w:r w:rsidRPr="00CF1F4A">
        <w:rPr>
          <w:rFonts w:cs="Times New Roman"/>
          <w:i/>
          <w:iCs/>
          <w:sz w:val="20"/>
          <w:u w:val="single"/>
        </w:rPr>
        <w:t>.</w:t>
      </w:r>
    </w:p>
    <w:p w:rsidR="00AA0579" w:rsidRPr="00CF1F4A" w:rsidRDefault="00AA0579" w:rsidP="00AA0579">
      <w:pPr>
        <w:pStyle w:val="Title"/>
        <w:bidi w:val="0"/>
        <w:ind w:left="-210"/>
        <w:jc w:val="left"/>
        <w:rPr>
          <w:rFonts w:cs="Traditional Arabic"/>
          <w:sz w:val="20"/>
          <w:szCs w:val="20"/>
        </w:rPr>
      </w:pPr>
    </w:p>
    <w:p w:rsidR="00AA0579" w:rsidRPr="00CF1F4A" w:rsidRDefault="00AA0579" w:rsidP="00AA0579">
      <w:pPr>
        <w:pStyle w:val="Title"/>
        <w:bidi w:val="0"/>
        <w:ind w:left="-210"/>
        <w:jc w:val="left"/>
        <w:rPr>
          <w:rFonts w:cs="Traditional Arabic"/>
          <w:sz w:val="20"/>
          <w:szCs w:val="20"/>
        </w:rPr>
      </w:pPr>
    </w:p>
    <w:p w:rsidR="00AA0579" w:rsidRPr="00CF1F4A" w:rsidRDefault="00AA0579" w:rsidP="00AA0579">
      <w:pPr>
        <w:pStyle w:val="Title"/>
        <w:bidi w:val="0"/>
        <w:ind w:left="-210"/>
        <w:jc w:val="left"/>
        <w:rPr>
          <w:rFonts w:cs="Traditional Arabic"/>
          <w:sz w:val="20"/>
          <w:szCs w:val="20"/>
        </w:rPr>
      </w:pPr>
    </w:p>
    <w:p w:rsidR="00D27191" w:rsidRPr="00CF1F4A" w:rsidRDefault="00D27191" w:rsidP="00AA0579">
      <w:pPr>
        <w:pStyle w:val="Title"/>
        <w:numPr>
          <w:ilvl w:val="0"/>
          <w:numId w:val="2"/>
        </w:numPr>
        <w:bidi w:val="0"/>
        <w:ind w:left="98" w:hanging="308"/>
        <w:jc w:val="left"/>
        <w:rPr>
          <w:rFonts w:cs="Traditional Arabic"/>
          <w:sz w:val="20"/>
          <w:szCs w:val="20"/>
        </w:rPr>
      </w:pPr>
      <w:r w:rsidRPr="00CF1F4A">
        <w:rPr>
          <w:rFonts w:cs="Traditional Arabic"/>
          <w:sz w:val="20"/>
          <w:szCs w:val="20"/>
        </w:rPr>
        <w:lastRenderedPageBreak/>
        <w:t>Culture</w:t>
      </w:r>
      <w:r w:rsidRPr="00CF1F4A">
        <w:rPr>
          <w:rFonts w:cs="Traditional Arabic"/>
          <w:sz w:val="20"/>
          <w:szCs w:val="20"/>
        </w:rPr>
        <w:tab/>
        <w:t xml:space="preserve">                              </w:t>
      </w:r>
    </w:p>
    <w:p w:rsidR="00D27191" w:rsidRPr="00CF1F4A" w:rsidRDefault="00D27191" w:rsidP="00926CEA">
      <w:pPr>
        <w:pStyle w:val="BodyText"/>
        <w:numPr>
          <w:ilvl w:val="0"/>
          <w:numId w:val="3"/>
        </w:numPr>
        <w:tabs>
          <w:tab w:val="num" w:pos="1211"/>
        </w:tabs>
        <w:overflowPunct/>
        <w:autoSpaceDE/>
        <w:autoSpaceDN/>
        <w:adjustRightInd/>
        <w:ind w:left="142" w:hanging="142"/>
        <w:jc w:val="left"/>
        <w:textAlignment w:val="auto"/>
      </w:pPr>
      <w:r w:rsidRPr="00CF1F4A">
        <w:t xml:space="preserve">In 2016, there were 612 </w:t>
      </w:r>
      <w:r w:rsidR="00926CEA" w:rsidRPr="00CF1F4A">
        <w:t xml:space="preserve">operating </w:t>
      </w:r>
      <w:r w:rsidRPr="00CF1F4A">
        <w:t>cultural centers in Palestine.</w:t>
      </w:r>
    </w:p>
    <w:p w:rsidR="00D27191" w:rsidRPr="00CF1F4A" w:rsidRDefault="00D27191" w:rsidP="006941CB">
      <w:pPr>
        <w:ind w:left="-218"/>
        <w:jc w:val="both"/>
        <w:rPr>
          <w:noProof/>
          <w:sz w:val="10"/>
          <w:szCs w:val="10"/>
        </w:rPr>
      </w:pPr>
    </w:p>
    <w:p w:rsidR="00D27191" w:rsidRPr="00CF1F4A" w:rsidRDefault="00D27191" w:rsidP="00AA0579">
      <w:pPr>
        <w:pStyle w:val="BodyText"/>
        <w:numPr>
          <w:ilvl w:val="0"/>
          <w:numId w:val="3"/>
        </w:numPr>
        <w:tabs>
          <w:tab w:val="num" w:pos="1211"/>
        </w:tabs>
        <w:overflowPunct/>
        <w:autoSpaceDE/>
        <w:autoSpaceDN/>
        <w:adjustRightInd/>
        <w:ind w:left="142" w:hanging="142"/>
        <w:jc w:val="left"/>
        <w:textAlignment w:val="auto"/>
      </w:pPr>
      <w:r w:rsidRPr="00CF1F4A">
        <w:t>In 2016, there were 31 museums operating in Palestine.</w:t>
      </w:r>
    </w:p>
    <w:p w:rsidR="00AA0579" w:rsidRPr="00CF1F4A" w:rsidRDefault="00AA0579" w:rsidP="00AA0579">
      <w:pPr>
        <w:pStyle w:val="BodyText"/>
        <w:tabs>
          <w:tab w:val="num" w:pos="1211"/>
        </w:tabs>
        <w:overflowPunct/>
        <w:autoSpaceDE/>
        <w:autoSpaceDN/>
        <w:adjustRightInd/>
        <w:ind w:left="142"/>
        <w:jc w:val="left"/>
        <w:textAlignment w:val="auto"/>
        <w:rPr>
          <w:sz w:val="10"/>
          <w:szCs w:val="10"/>
        </w:rPr>
      </w:pPr>
    </w:p>
    <w:p w:rsidR="00D27191" w:rsidRPr="00CF1F4A" w:rsidRDefault="00D27191" w:rsidP="00D27191">
      <w:pPr>
        <w:jc w:val="center"/>
        <w:rPr>
          <w:rFonts w:ascii="Arial" w:hAnsi="Arial" w:cs="Arial"/>
          <w:b/>
          <w:bCs/>
          <w:sz w:val="6"/>
          <w:szCs w:val="6"/>
        </w:rPr>
      </w:pPr>
    </w:p>
    <w:p w:rsidR="00D27191" w:rsidRPr="00CF1F4A" w:rsidRDefault="00D27191" w:rsidP="00D27191">
      <w:pPr>
        <w:jc w:val="center"/>
        <w:rPr>
          <w:rFonts w:ascii="Arial" w:hAnsi="Arial" w:cs="Arial"/>
          <w:b/>
          <w:bCs/>
          <w:sz w:val="18"/>
          <w:szCs w:val="18"/>
        </w:rPr>
      </w:pPr>
      <w:r w:rsidRPr="00CF1F4A">
        <w:rPr>
          <w:rFonts w:ascii="Arial" w:hAnsi="Arial" w:cs="Arial"/>
          <w:b/>
          <w:bCs/>
          <w:sz w:val="18"/>
          <w:szCs w:val="18"/>
        </w:rPr>
        <w:t>Audience of Stage Shows in Palestine by Month, 2016</w:t>
      </w:r>
    </w:p>
    <w:p w:rsidR="00AA0579" w:rsidRPr="00CF1F4A" w:rsidRDefault="00AA0579" w:rsidP="00D27191">
      <w:pPr>
        <w:jc w:val="center"/>
        <w:rPr>
          <w:b/>
          <w:bCs/>
          <w:sz w:val="10"/>
          <w:szCs w:val="10"/>
        </w:rPr>
      </w:pPr>
    </w:p>
    <w:p w:rsidR="00D27191" w:rsidRPr="00CF1F4A" w:rsidRDefault="00D27191" w:rsidP="00D27191">
      <w:pPr>
        <w:jc w:val="center"/>
        <w:rPr>
          <w:rFonts w:ascii="Arial" w:hAnsi="Arial" w:cs="Arial"/>
          <w:b/>
          <w:bCs/>
          <w:sz w:val="18"/>
          <w:szCs w:val="18"/>
        </w:rPr>
      </w:pPr>
      <w:r w:rsidRPr="00CF1F4A">
        <w:rPr>
          <w:rFonts w:ascii="Arial" w:hAnsi="Arial" w:cs="Arial"/>
          <w:b/>
          <w:bCs/>
          <w:noProof/>
          <w:sz w:val="18"/>
          <w:szCs w:val="18"/>
          <w:bdr w:val="single" w:sz="4" w:space="0" w:color="auto"/>
        </w:rPr>
        <w:drawing>
          <wp:inline distT="0" distB="0" distL="0" distR="0">
            <wp:extent cx="4318000" cy="1968500"/>
            <wp:effectExtent l="0" t="0" r="0" b="0"/>
            <wp:docPr id="29"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D27191" w:rsidRPr="00CF1F4A" w:rsidRDefault="00D27191" w:rsidP="00123CC8">
      <w:pPr>
        <w:pStyle w:val="ListParagraph"/>
        <w:bidi w:val="0"/>
        <w:ind w:left="0"/>
        <w:jc w:val="lowKashida"/>
        <w:rPr>
          <w:rFonts w:cs="Times New Roman"/>
          <w:i/>
          <w:iCs/>
          <w:sz w:val="20"/>
          <w:u w:val="single"/>
        </w:rPr>
      </w:pPr>
      <w:r w:rsidRPr="00CF1F4A">
        <w:rPr>
          <w:rFonts w:cs="Times New Roman"/>
          <w:i/>
          <w:iCs/>
          <w:sz w:val="20"/>
          <w:u w:val="single"/>
        </w:rPr>
        <w:t>For more details about culture, see the tables in chapter 1.</w:t>
      </w:r>
      <w:r w:rsidR="00123CC8" w:rsidRPr="00CF1F4A">
        <w:rPr>
          <w:rFonts w:cs="Times New Roman"/>
          <w:i/>
          <w:iCs/>
          <w:sz w:val="20"/>
          <w:u w:val="single"/>
        </w:rPr>
        <w:t>8</w:t>
      </w:r>
      <w:r w:rsidRPr="00CF1F4A">
        <w:rPr>
          <w:rFonts w:cs="Times New Roman"/>
          <w:i/>
          <w:iCs/>
          <w:sz w:val="20"/>
          <w:u w:val="single"/>
        </w:rPr>
        <w:t xml:space="preserve"> of the Arabic section, pages </w:t>
      </w:r>
      <w:r w:rsidR="002E0DFC" w:rsidRPr="00CF1F4A">
        <w:rPr>
          <w:rFonts w:cs="Times New Roman"/>
          <w:i/>
          <w:iCs/>
          <w:sz w:val="20"/>
          <w:u w:val="single"/>
        </w:rPr>
        <w:t>105</w:t>
      </w:r>
      <w:r w:rsidRPr="00CF1F4A">
        <w:rPr>
          <w:rFonts w:cs="Times New Roman"/>
          <w:i/>
          <w:iCs/>
          <w:sz w:val="20"/>
          <w:u w:val="single"/>
        </w:rPr>
        <w:t>-</w:t>
      </w:r>
      <w:r w:rsidR="002E0DFC" w:rsidRPr="00CF1F4A">
        <w:rPr>
          <w:rFonts w:cs="Times New Roman"/>
          <w:i/>
          <w:iCs/>
          <w:sz w:val="20"/>
          <w:u w:val="single"/>
        </w:rPr>
        <w:t>112</w:t>
      </w:r>
      <w:r w:rsidRPr="00CF1F4A">
        <w:rPr>
          <w:rFonts w:cs="Times New Roman"/>
          <w:i/>
          <w:iCs/>
          <w:sz w:val="20"/>
          <w:u w:val="single"/>
        </w:rPr>
        <w:t>.</w:t>
      </w:r>
    </w:p>
    <w:p w:rsidR="00D27191" w:rsidRPr="00CF1F4A" w:rsidRDefault="00D27191" w:rsidP="00D27191">
      <w:pPr>
        <w:pStyle w:val="ListParagraph"/>
        <w:bidi w:val="0"/>
        <w:ind w:left="0"/>
        <w:jc w:val="lowKashida"/>
        <w:rPr>
          <w:rFonts w:cs="Times New Roman"/>
          <w:i/>
          <w:iCs/>
          <w:sz w:val="16"/>
          <w:szCs w:val="16"/>
          <w:u w:val="single"/>
        </w:rPr>
      </w:pPr>
    </w:p>
    <w:p w:rsidR="00D27191" w:rsidRPr="00CF1F4A" w:rsidRDefault="00D27191" w:rsidP="00D27191">
      <w:pPr>
        <w:pStyle w:val="Title"/>
        <w:numPr>
          <w:ilvl w:val="0"/>
          <w:numId w:val="2"/>
        </w:numPr>
        <w:bidi w:val="0"/>
        <w:ind w:left="98" w:hanging="308"/>
        <w:jc w:val="lowKashida"/>
        <w:rPr>
          <w:rFonts w:cs="Traditional Arabic"/>
          <w:sz w:val="20"/>
          <w:szCs w:val="20"/>
        </w:rPr>
      </w:pPr>
      <w:r w:rsidRPr="00CF1F4A">
        <w:rPr>
          <w:rFonts w:cs="Traditional Arabic"/>
          <w:sz w:val="20"/>
          <w:szCs w:val="20"/>
        </w:rPr>
        <w:t>Information Society</w:t>
      </w:r>
    </w:p>
    <w:p w:rsidR="00D27191" w:rsidRPr="00CF1F4A" w:rsidRDefault="00D27191" w:rsidP="00D27191">
      <w:pPr>
        <w:pStyle w:val="BodyText"/>
        <w:numPr>
          <w:ilvl w:val="0"/>
          <w:numId w:val="3"/>
        </w:numPr>
        <w:overflowPunct/>
        <w:autoSpaceDE/>
        <w:autoSpaceDN/>
        <w:adjustRightInd/>
        <w:ind w:left="142" w:hanging="142"/>
        <w:jc w:val="left"/>
        <w:textAlignment w:val="auto"/>
      </w:pPr>
      <w:r w:rsidRPr="00CF1F4A">
        <w:t xml:space="preserve">In 2014, 63.1% of households </w:t>
      </w:r>
      <w:r w:rsidR="00926CEA" w:rsidRPr="00CF1F4A">
        <w:t xml:space="preserve">in Palestine </w:t>
      </w:r>
      <w:r w:rsidRPr="00CF1F4A">
        <w:t>had a computer.</w:t>
      </w:r>
    </w:p>
    <w:p w:rsidR="00773DF2" w:rsidRPr="00CF1F4A" w:rsidRDefault="00773DF2" w:rsidP="00773DF2">
      <w:pPr>
        <w:pStyle w:val="BodyText"/>
        <w:overflowPunct/>
        <w:autoSpaceDE/>
        <w:autoSpaceDN/>
        <w:adjustRightInd/>
        <w:ind w:left="142"/>
        <w:jc w:val="left"/>
        <w:textAlignment w:val="auto"/>
        <w:rPr>
          <w:sz w:val="10"/>
          <w:szCs w:val="10"/>
        </w:rPr>
      </w:pPr>
    </w:p>
    <w:p w:rsidR="00D27191" w:rsidRPr="00CF1F4A" w:rsidRDefault="00D27191" w:rsidP="00D27191">
      <w:pPr>
        <w:pStyle w:val="BodyText"/>
        <w:numPr>
          <w:ilvl w:val="0"/>
          <w:numId w:val="3"/>
        </w:numPr>
        <w:overflowPunct/>
        <w:autoSpaceDE/>
        <w:autoSpaceDN/>
        <w:adjustRightInd/>
        <w:ind w:left="142" w:hanging="142"/>
        <w:jc w:val="left"/>
        <w:textAlignment w:val="auto"/>
      </w:pPr>
      <w:r w:rsidRPr="00CF1F4A">
        <w:t>In 2014, 48.3% of households in Palestine had an Internet connection and 97.8% of households in Palestine had a mobile phone.</w:t>
      </w:r>
    </w:p>
    <w:p w:rsidR="00773DF2" w:rsidRPr="00CF1F4A" w:rsidRDefault="00773DF2" w:rsidP="00773DF2">
      <w:pPr>
        <w:pStyle w:val="BodyText"/>
        <w:overflowPunct/>
        <w:autoSpaceDE/>
        <w:autoSpaceDN/>
        <w:adjustRightInd/>
        <w:jc w:val="left"/>
        <w:textAlignment w:val="auto"/>
        <w:rPr>
          <w:sz w:val="10"/>
          <w:szCs w:val="10"/>
        </w:rPr>
      </w:pPr>
    </w:p>
    <w:p w:rsidR="00D27191" w:rsidRPr="00CF1F4A" w:rsidRDefault="00D27191" w:rsidP="00926CEA">
      <w:pPr>
        <w:pStyle w:val="BodyText"/>
        <w:numPr>
          <w:ilvl w:val="0"/>
          <w:numId w:val="3"/>
        </w:numPr>
        <w:overflowPunct/>
        <w:autoSpaceDE/>
        <w:autoSpaceDN/>
        <w:adjustRightInd/>
        <w:ind w:left="142" w:hanging="142"/>
        <w:jc w:val="left"/>
        <w:textAlignment w:val="auto"/>
      </w:pPr>
      <w:r w:rsidRPr="00CF1F4A">
        <w:t>In 2013, there were 8,715 workers employed in research and development</w:t>
      </w:r>
      <w:r w:rsidR="00926CEA" w:rsidRPr="00CF1F4A">
        <w:t xml:space="preserve">; </w:t>
      </w:r>
      <w:r w:rsidRPr="00CF1F4A">
        <w:t>representing 5,162 full-time equivalent (FTE) workers.</w:t>
      </w:r>
    </w:p>
    <w:p w:rsidR="00773DF2" w:rsidRPr="00CF1F4A" w:rsidRDefault="00773DF2" w:rsidP="00773DF2">
      <w:pPr>
        <w:pStyle w:val="BodyText"/>
        <w:overflowPunct/>
        <w:autoSpaceDE/>
        <w:autoSpaceDN/>
        <w:adjustRightInd/>
        <w:jc w:val="left"/>
        <w:textAlignment w:val="auto"/>
        <w:rPr>
          <w:sz w:val="10"/>
          <w:szCs w:val="10"/>
        </w:rPr>
      </w:pPr>
    </w:p>
    <w:p w:rsidR="00D27191" w:rsidRPr="00CF1F4A" w:rsidRDefault="00D27191" w:rsidP="00926CEA">
      <w:pPr>
        <w:pStyle w:val="BodyText"/>
        <w:numPr>
          <w:ilvl w:val="0"/>
          <w:numId w:val="3"/>
        </w:numPr>
        <w:overflowPunct/>
        <w:autoSpaceDE/>
        <w:autoSpaceDN/>
        <w:adjustRightInd/>
        <w:ind w:left="142" w:hanging="142"/>
        <w:jc w:val="left"/>
        <w:textAlignment w:val="auto"/>
      </w:pPr>
      <w:r w:rsidRPr="00CF1F4A">
        <w:t>There were 4,533 researchers</w:t>
      </w:r>
      <w:r w:rsidR="00926CEA" w:rsidRPr="00CF1F4A">
        <w:t xml:space="preserve">; </w:t>
      </w:r>
      <w:r w:rsidRPr="00CF1F4A">
        <w:t xml:space="preserve">representing 2,492 (FTE) researchers. </w:t>
      </w:r>
    </w:p>
    <w:p w:rsidR="00D27191" w:rsidRPr="00CF1F4A" w:rsidRDefault="00D27191" w:rsidP="00D27191">
      <w:pPr>
        <w:pStyle w:val="Heading1"/>
        <w:tabs>
          <w:tab w:val="left" w:pos="3537"/>
          <w:tab w:val="left" w:pos="5433"/>
          <w:tab w:val="left" w:pos="6511"/>
          <w:tab w:val="left" w:pos="7569"/>
          <w:tab w:val="left" w:pos="10245"/>
        </w:tabs>
        <w:jc w:val="center"/>
        <w:rPr>
          <w:rFonts w:ascii="Arial" w:hAnsi="Arial" w:cs="Arial"/>
          <w:sz w:val="18"/>
          <w:szCs w:val="18"/>
        </w:rPr>
      </w:pPr>
    </w:p>
    <w:p w:rsidR="00D27191" w:rsidRPr="00CF1F4A" w:rsidRDefault="00D27191" w:rsidP="00D27191">
      <w:pPr>
        <w:pStyle w:val="Heading1"/>
        <w:tabs>
          <w:tab w:val="left" w:pos="3537"/>
          <w:tab w:val="left" w:pos="5433"/>
          <w:tab w:val="left" w:pos="6511"/>
          <w:tab w:val="left" w:pos="7569"/>
          <w:tab w:val="left" w:pos="10245"/>
        </w:tabs>
        <w:jc w:val="center"/>
        <w:rPr>
          <w:rFonts w:ascii="Arial" w:hAnsi="Arial" w:cs="Arial"/>
          <w:sz w:val="18"/>
          <w:szCs w:val="18"/>
        </w:rPr>
      </w:pPr>
      <w:r w:rsidRPr="00CF1F4A">
        <w:rPr>
          <w:rFonts w:ascii="Arial" w:hAnsi="Arial" w:cs="Arial"/>
          <w:sz w:val="18"/>
          <w:szCs w:val="18"/>
        </w:rPr>
        <w:t>Percentage</w:t>
      </w:r>
      <w:r w:rsidRPr="00CF1F4A">
        <w:rPr>
          <w:rFonts w:ascii="Arial" w:hAnsi="Arial" w:cs="Arial"/>
          <w:b w:val="0"/>
          <w:bCs w:val="0"/>
          <w:sz w:val="18"/>
          <w:szCs w:val="18"/>
        </w:rPr>
        <w:t xml:space="preserve"> </w:t>
      </w:r>
      <w:r w:rsidRPr="00CF1F4A">
        <w:rPr>
          <w:rFonts w:ascii="Arial" w:hAnsi="Arial" w:cs="Arial"/>
          <w:sz w:val="18"/>
          <w:szCs w:val="18"/>
        </w:rPr>
        <w:t xml:space="preserve">of Households in Palestine by Availability of (ICT) Tools </w:t>
      </w:r>
    </w:p>
    <w:p w:rsidR="00D27191" w:rsidRPr="00CF1F4A" w:rsidRDefault="00D27191" w:rsidP="00D27191">
      <w:pPr>
        <w:pStyle w:val="Heading1"/>
        <w:tabs>
          <w:tab w:val="left" w:pos="3537"/>
          <w:tab w:val="left" w:pos="5433"/>
          <w:tab w:val="left" w:pos="6511"/>
          <w:tab w:val="left" w:pos="7569"/>
          <w:tab w:val="left" w:pos="10245"/>
        </w:tabs>
        <w:jc w:val="center"/>
        <w:rPr>
          <w:rFonts w:ascii="Arial" w:hAnsi="Arial" w:cs="Arial"/>
          <w:sz w:val="18"/>
          <w:szCs w:val="18"/>
        </w:rPr>
      </w:pPr>
      <w:r w:rsidRPr="00CF1F4A">
        <w:rPr>
          <w:rFonts w:ascii="Arial" w:hAnsi="Arial" w:cs="Arial"/>
          <w:sz w:val="18"/>
          <w:szCs w:val="18"/>
        </w:rPr>
        <w:t xml:space="preserve">at Home, </w:t>
      </w:r>
      <w:r w:rsidRPr="00CF1F4A">
        <w:rPr>
          <w:rFonts w:ascii="Arial" w:hAnsi="Arial" w:cs="Arial" w:hint="cs"/>
          <w:sz w:val="18"/>
          <w:szCs w:val="18"/>
          <w:rtl/>
          <w:lang w:val="en-GB"/>
        </w:rPr>
        <w:t>2014</w:t>
      </w:r>
    </w:p>
    <w:p w:rsidR="00D27191" w:rsidRPr="00CF1F4A" w:rsidRDefault="00D27191" w:rsidP="00D27191">
      <w:pPr>
        <w:rPr>
          <w:sz w:val="10"/>
          <w:szCs w:val="10"/>
        </w:rPr>
      </w:pPr>
    </w:p>
    <w:p w:rsidR="00D27191" w:rsidRPr="00CF1F4A" w:rsidRDefault="00D27191" w:rsidP="00D27191">
      <w:pPr>
        <w:jc w:val="center"/>
        <w:rPr>
          <w:rFonts w:ascii="Arial" w:hAnsi="Arial" w:cs="Arial"/>
          <w:b/>
          <w:bCs/>
          <w:szCs w:val="18"/>
        </w:rPr>
      </w:pPr>
      <w:r w:rsidRPr="00CF1F4A">
        <w:rPr>
          <w:rFonts w:ascii="Arial" w:hAnsi="Arial" w:cs="Arial"/>
          <w:b/>
          <w:bCs/>
          <w:noProof/>
          <w:szCs w:val="18"/>
          <w:bdr w:val="single" w:sz="4" w:space="0" w:color="auto"/>
        </w:rPr>
        <w:drawing>
          <wp:inline distT="0" distB="0" distL="0" distR="0">
            <wp:extent cx="4189863" cy="1433015"/>
            <wp:effectExtent l="0" t="0" r="0" b="0"/>
            <wp:docPr id="3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4580F" w:rsidRPr="00CF1F4A" w:rsidRDefault="0054580F" w:rsidP="0054580F">
      <w:pPr>
        <w:pStyle w:val="ListParagraph"/>
        <w:bidi w:val="0"/>
        <w:ind w:left="0"/>
        <w:jc w:val="lowKashida"/>
        <w:rPr>
          <w:rFonts w:cs="Times New Roman"/>
          <w:i/>
          <w:iCs/>
          <w:sz w:val="20"/>
          <w:u w:val="single"/>
        </w:rPr>
      </w:pPr>
    </w:p>
    <w:p w:rsidR="005369B2" w:rsidRPr="00CF1F4A" w:rsidRDefault="005369B2" w:rsidP="005369B2">
      <w:pPr>
        <w:pStyle w:val="ListParagraph"/>
        <w:bidi w:val="0"/>
        <w:ind w:left="0"/>
        <w:jc w:val="lowKashida"/>
        <w:rPr>
          <w:rFonts w:cs="Times New Roman"/>
          <w:i/>
          <w:iCs/>
          <w:sz w:val="20"/>
          <w:u w:val="single"/>
        </w:rPr>
      </w:pPr>
    </w:p>
    <w:p w:rsidR="00485D10" w:rsidRPr="00CF1F4A" w:rsidRDefault="00485D10" w:rsidP="00485D10">
      <w:pPr>
        <w:pStyle w:val="ListParagraph"/>
        <w:bidi w:val="0"/>
        <w:ind w:left="0"/>
        <w:jc w:val="lowKashida"/>
        <w:rPr>
          <w:rFonts w:cs="Times New Roman"/>
          <w:i/>
          <w:iCs/>
          <w:sz w:val="20"/>
          <w:u w:val="single"/>
        </w:rPr>
      </w:pPr>
    </w:p>
    <w:p w:rsidR="00485D10" w:rsidRPr="00CF1F4A" w:rsidRDefault="00485D10" w:rsidP="00485D10">
      <w:pPr>
        <w:pStyle w:val="ListParagraph"/>
        <w:bidi w:val="0"/>
        <w:ind w:left="0"/>
        <w:jc w:val="lowKashida"/>
        <w:rPr>
          <w:rFonts w:cs="Times New Roman"/>
          <w:i/>
          <w:iCs/>
          <w:sz w:val="20"/>
          <w:u w:val="single"/>
        </w:rPr>
      </w:pPr>
    </w:p>
    <w:p w:rsidR="00485D10" w:rsidRPr="00CF1F4A" w:rsidRDefault="00485D10" w:rsidP="00485D10">
      <w:pPr>
        <w:pStyle w:val="ListParagraph"/>
        <w:bidi w:val="0"/>
        <w:ind w:left="0"/>
        <w:jc w:val="lowKashida"/>
        <w:rPr>
          <w:rFonts w:cs="Times New Roman"/>
          <w:i/>
          <w:iCs/>
          <w:sz w:val="20"/>
          <w:u w:val="single"/>
        </w:rPr>
      </w:pPr>
    </w:p>
    <w:p w:rsidR="00485D10" w:rsidRPr="00CF1F4A" w:rsidRDefault="00485D10" w:rsidP="00485D10">
      <w:pPr>
        <w:pStyle w:val="ListParagraph"/>
        <w:bidi w:val="0"/>
        <w:ind w:left="0"/>
        <w:jc w:val="lowKashida"/>
        <w:rPr>
          <w:rFonts w:cs="Times New Roman"/>
          <w:i/>
          <w:iCs/>
          <w:sz w:val="2"/>
          <w:szCs w:val="2"/>
          <w:u w:val="single"/>
        </w:rPr>
      </w:pPr>
    </w:p>
    <w:p w:rsidR="0054580F" w:rsidRPr="00CF1F4A" w:rsidRDefault="0054580F" w:rsidP="0054580F">
      <w:pPr>
        <w:pStyle w:val="ListParagraph"/>
        <w:bidi w:val="0"/>
        <w:ind w:left="0"/>
        <w:jc w:val="lowKashida"/>
        <w:rPr>
          <w:rFonts w:cs="Times New Roman"/>
          <w:i/>
          <w:iCs/>
          <w:sz w:val="20"/>
          <w:u w:val="single"/>
        </w:rPr>
      </w:pPr>
      <w:r w:rsidRPr="00CF1F4A">
        <w:rPr>
          <w:rFonts w:cs="Times New Roman"/>
          <w:i/>
          <w:iCs/>
          <w:sz w:val="20"/>
          <w:u w:val="single"/>
        </w:rPr>
        <w:lastRenderedPageBreak/>
        <w:drawing>
          <wp:anchor distT="0" distB="0" distL="114300" distR="114300" simplePos="0" relativeHeight="251674624" behindDoc="0" locked="0" layoutInCell="1" allowOverlap="1">
            <wp:simplePos x="0" y="0"/>
            <wp:positionH relativeFrom="column">
              <wp:posOffset>702310</wp:posOffset>
            </wp:positionH>
            <wp:positionV relativeFrom="paragraph">
              <wp:posOffset>-15240</wp:posOffset>
            </wp:positionV>
            <wp:extent cx="3059430" cy="4064000"/>
            <wp:effectExtent l="19050" t="19050" r="26670" b="12700"/>
            <wp:wrapNone/>
            <wp:docPr id="30" name="Picture 3" descr="G:\كتاب 2014\خرائط\توفر كمبيوتر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كتاب 2014\خرائط\توفر كمبيوترE.jpg"/>
                    <pic:cNvPicPr>
                      <a:picLocks noChangeAspect="1" noChangeArrowheads="1"/>
                    </pic:cNvPicPr>
                  </pic:nvPicPr>
                  <pic:blipFill>
                    <a:blip r:embed="rId18"/>
                    <a:srcRect t="1318" r="2192"/>
                    <a:stretch>
                      <a:fillRect/>
                    </a:stretch>
                  </pic:blipFill>
                  <pic:spPr bwMode="auto">
                    <a:xfrm>
                      <a:off x="0" y="0"/>
                      <a:ext cx="3059430" cy="4064000"/>
                    </a:xfrm>
                    <a:prstGeom prst="rect">
                      <a:avLst/>
                    </a:prstGeom>
                    <a:noFill/>
                    <a:ln w="3175">
                      <a:solidFill>
                        <a:schemeClr val="tx1"/>
                      </a:solidFill>
                      <a:miter lim="800000"/>
                      <a:headEnd/>
                      <a:tailEnd/>
                    </a:ln>
                  </pic:spPr>
                </pic:pic>
              </a:graphicData>
            </a:graphic>
          </wp:anchor>
        </w:drawing>
      </w: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54580F" w:rsidRPr="00CF1F4A" w:rsidRDefault="0054580F" w:rsidP="0054580F">
      <w:pPr>
        <w:pStyle w:val="ListParagraph"/>
        <w:bidi w:val="0"/>
        <w:ind w:left="0"/>
        <w:jc w:val="lowKashida"/>
        <w:rPr>
          <w:rFonts w:cs="Times New Roman"/>
          <w:i/>
          <w:iCs/>
          <w:sz w:val="20"/>
          <w:u w:val="single"/>
        </w:rPr>
      </w:pPr>
    </w:p>
    <w:p w:rsidR="00D27191" w:rsidRPr="00CF1F4A" w:rsidRDefault="00D27191" w:rsidP="00123CC8">
      <w:pPr>
        <w:pStyle w:val="ListParagraph"/>
        <w:bidi w:val="0"/>
        <w:ind w:left="0"/>
        <w:jc w:val="lowKashida"/>
        <w:rPr>
          <w:rFonts w:cs="Times New Roman"/>
          <w:i/>
          <w:iCs/>
          <w:sz w:val="20"/>
          <w:u w:val="single"/>
        </w:rPr>
      </w:pPr>
      <w:r w:rsidRPr="00CF1F4A">
        <w:rPr>
          <w:rFonts w:cs="Times New Roman"/>
          <w:i/>
          <w:iCs/>
          <w:sz w:val="20"/>
          <w:u w:val="single"/>
        </w:rPr>
        <w:t>For more details on the information society, see the tables in chapter 1.</w:t>
      </w:r>
      <w:r w:rsidR="00123CC8" w:rsidRPr="00CF1F4A">
        <w:rPr>
          <w:rFonts w:cs="Times New Roman"/>
          <w:i/>
          <w:iCs/>
          <w:sz w:val="20"/>
          <w:u w:val="single"/>
        </w:rPr>
        <w:t>9</w:t>
      </w:r>
      <w:r w:rsidRPr="00CF1F4A">
        <w:rPr>
          <w:rFonts w:cs="Times New Roman"/>
          <w:i/>
          <w:iCs/>
          <w:sz w:val="20"/>
          <w:u w:val="single"/>
        </w:rPr>
        <w:t xml:space="preserve"> of the Arabic section, pages</w:t>
      </w:r>
      <w:r w:rsidRPr="00CF1F4A">
        <w:rPr>
          <w:rFonts w:cs="Times New Roman"/>
          <w:i/>
          <w:iCs/>
          <w:noProof w:val="0"/>
          <w:sz w:val="20"/>
          <w:u w:val="single"/>
          <w:rtl/>
        </w:rPr>
        <w:t xml:space="preserve"> </w:t>
      </w:r>
      <w:r w:rsidRPr="00CF1F4A">
        <w:rPr>
          <w:rFonts w:cs="Times New Roman"/>
          <w:i/>
          <w:iCs/>
          <w:sz w:val="20"/>
          <w:u w:val="single"/>
        </w:rPr>
        <w:t>11</w:t>
      </w:r>
      <w:r w:rsidR="00123CC8" w:rsidRPr="00CF1F4A">
        <w:rPr>
          <w:rFonts w:cs="Times New Roman"/>
          <w:i/>
          <w:iCs/>
          <w:sz w:val="20"/>
          <w:u w:val="single"/>
        </w:rPr>
        <w:t>3</w:t>
      </w:r>
      <w:r w:rsidRPr="00CF1F4A">
        <w:rPr>
          <w:rFonts w:cs="Times New Roman"/>
          <w:i/>
          <w:iCs/>
          <w:sz w:val="20"/>
          <w:u w:val="single"/>
        </w:rPr>
        <w:t>-1</w:t>
      </w:r>
      <w:r w:rsidR="00123CC8" w:rsidRPr="00CF1F4A">
        <w:rPr>
          <w:rFonts w:cs="Times New Roman"/>
          <w:i/>
          <w:iCs/>
          <w:sz w:val="20"/>
          <w:u w:val="single"/>
        </w:rPr>
        <w:t>18</w:t>
      </w:r>
      <w:r w:rsidRPr="00CF1F4A">
        <w:rPr>
          <w:rFonts w:cs="Times New Roman"/>
          <w:i/>
          <w:iCs/>
          <w:sz w:val="20"/>
          <w:u w:val="single"/>
        </w:rPr>
        <w:t>.</w:t>
      </w: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B667C6" w:rsidRPr="00CF1F4A" w:rsidRDefault="00B667C6" w:rsidP="00B667C6">
      <w:pPr>
        <w:pStyle w:val="Title"/>
        <w:bidi w:val="0"/>
        <w:ind w:left="-210"/>
        <w:jc w:val="left"/>
        <w:rPr>
          <w:rFonts w:cs="Traditional Arabic"/>
          <w:sz w:val="20"/>
          <w:szCs w:val="20"/>
        </w:rPr>
      </w:pPr>
    </w:p>
    <w:p w:rsidR="00EB1A1F" w:rsidRPr="00CF1F4A" w:rsidRDefault="008D1EBD" w:rsidP="00B667C6">
      <w:pPr>
        <w:pStyle w:val="Title"/>
        <w:numPr>
          <w:ilvl w:val="0"/>
          <w:numId w:val="2"/>
        </w:numPr>
        <w:bidi w:val="0"/>
        <w:ind w:left="98" w:hanging="308"/>
        <w:jc w:val="left"/>
        <w:rPr>
          <w:rFonts w:cs="Traditional Arabic"/>
          <w:sz w:val="20"/>
          <w:szCs w:val="20"/>
        </w:rPr>
      </w:pPr>
      <w:r w:rsidRPr="00CF1F4A">
        <w:rPr>
          <w:rFonts w:cs="Traditional Arabic"/>
          <w:sz w:val="20"/>
          <w:szCs w:val="20"/>
        </w:rPr>
        <w:lastRenderedPageBreak/>
        <w:t xml:space="preserve">Agriculture and </w:t>
      </w:r>
      <w:r w:rsidR="00EB1A1F" w:rsidRPr="00CF1F4A">
        <w:rPr>
          <w:rFonts w:cs="Traditional Arabic"/>
          <w:sz w:val="20"/>
          <w:szCs w:val="20"/>
        </w:rPr>
        <w:t>Land Use</w:t>
      </w:r>
    </w:p>
    <w:p w:rsidR="008225F0" w:rsidRPr="00CF1F4A" w:rsidRDefault="008225F0" w:rsidP="00926CEA">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 xml:space="preserve">There were 32,177 animal and mixed holdings in Palestine: of </w:t>
      </w:r>
      <w:r w:rsidR="00926CEA" w:rsidRPr="00CF1F4A">
        <w:rPr>
          <w:rFonts w:cs="Times New Roman"/>
        </w:rPr>
        <w:t xml:space="preserve">which </w:t>
      </w:r>
      <w:r w:rsidRPr="00CF1F4A">
        <w:rPr>
          <w:rFonts w:cs="Times New Roman"/>
        </w:rPr>
        <w:t>25,676 were in the West Bank (79.8%) and 6,501 in Gaza Strip (20.2%) during the agricultural year 201</w:t>
      </w:r>
      <w:r w:rsidRPr="00CF1F4A">
        <w:rPr>
          <w:rFonts w:cs="Times New Roman"/>
          <w:rtl/>
        </w:rPr>
        <w:t>2</w:t>
      </w:r>
      <w:r w:rsidRPr="00CF1F4A">
        <w:rPr>
          <w:rFonts w:cs="Times New Roman"/>
        </w:rPr>
        <w:t>/201</w:t>
      </w:r>
      <w:r w:rsidRPr="00CF1F4A">
        <w:rPr>
          <w:rFonts w:cs="Times New Roman"/>
          <w:rtl/>
        </w:rPr>
        <w:t>3</w:t>
      </w:r>
      <w:r w:rsidRPr="00CF1F4A">
        <w:rPr>
          <w:rFonts w:cs="Times New Roman"/>
        </w:rPr>
        <w:t>.</w:t>
      </w:r>
    </w:p>
    <w:p w:rsidR="005369B2" w:rsidRPr="00CF1F4A" w:rsidRDefault="00B667C6" w:rsidP="006868A7">
      <w:pPr>
        <w:pStyle w:val="BodyText"/>
        <w:overflowPunct/>
        <w:autoSpaceDE/>
        <w:autoSpaceDN/>
        <w:adjustRightInd/>
        <w:ind w:left="142"/>
        <w:jc w:val="center"/>
        <w:textAlignment w:val="auto"/>
      </w:pPr>
      <w:r w:rsidRPr="00CF1F4A">
        <w:rPr>
          <w:noProof/>
        </w:rPr>
        <w:drawing>
          <wp:anchor distT="0" distB="0" distL="114300" distR="114300" simplePos="0" relativeHeight="251676672" behindDoc="0" locked="0" layoutInCell="1" allowOverlap="1">
            <wp:simplePos x="0" y="0"/>
            <wp:positionH relativeFrom="column">
              <wp:posOffset>365760</wp:posOffset>
            </wp:positionH>
            <wp:positionV relativeFrom="paragraph">
              <wp:posOffset>58420</wp:posOffset>
            </wp:positionV>
            <wp:extent cx="3599815" cy="3841750"/>
            <wp:effectExtent l="19050" t="19050" r="19685" b="25400"/>
            <wp:wrapNone/>
            <wp:docPr id="7" name="Picture 1" descr="G:\كتاب 2014\خرائط\عدد الحيوانات انجليز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2014\خرائط\عدد الحيوانات انجليزي.jpg"/>
                    <pic:cNvPicPr>
                      <a:picLocks noChangeAspect="1" noChangeArrowheads="1"/>
                    </pic:cNvPicPr>
                  </pic:nvPicPr>
                  <pic:blipFill>
                    <a:blip r:embed="rId19"/>
                    <a:srcRect/>
                    <a:stretch>
                      <a:fillRect/>
                    </a:stretch>
                  </pic:blipFill>
                  <pic:spPr bwMode="auto">
                    <a:xfrm>
                      <a:off x="0" y="0"/>
                      <a:ext cx="3599815" cy="3841750"/>
                    </a:xfrm>
                    <a:prstGeom prst="rect">
                      <a:avLst/>
                    </a:prstGeom>
                    <a:noFill/>
                    <a:ln w="3175">
                      <a:solidFill>
                        <a:schemeClr val="tx1"/>
                      </a:solidFill>
                      <a:miter lim="800000"/>
                      <a:headEnd/>
                      <a:tailEnd/>
                    </a:ln>
                  </pic:spPr>
                </pic:pic>
              </a:graphicData>
            </a:graphic>
          </wp:anchor>
        </w:drawing>
      </w:r>
    </w:p>
    <w:p w:rsidR="005369B2" w:rsidRPr="00CF1F4A" w:rsidRDefault="005369B2"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6868A7" w:rsidRPr="00CF1F4A" w:rsidRDefault="006868A7"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pPr>
    </w:p>
    <w:p w:rsidR="0054580F" w:rsidRPr="00CF1F4A" w:rsidRDefault="0054580F" w:rsidP="006868A7">
      <w:pPr>
        <w:pStyle w:val="BodyText"/>
        <w:overflowPunct/>
        <w:autoSpaceDE/>
        <w:autoSpaceDN/>
        <w:adjustRightInd/>
        <w:ind w:left="142"/>
        <w:jc w:val="center"/>
        <w:textAlignment w:val="auto"/>
        <w:rPr>
          <w:sz w:val="10"/>
          <w:szCs w:val="10"/>
        </w:rPr>
      </w:pPr>
    </w:p>
    <w:p w:rsidR="00DC4287" w:rsidRPr="00CF1F4A" w:rsidRDefault="00DC4287" w:rsidP="001E1647">
      <w:pPr>
        <w:pStyle w:val="BodyText"/>
        <w:numPr>
          <w:ilvl w:val="0"/>
          <w:numId w:val="3"/>
        </w:numPr>
        <w:tabs>
          <w:tab w:val="right" w:pos="993"/>
        </w:tabs>
        <w:overflowPunct/>
        <w:autoSpaceDE/>
        <w:autoSpaceDN/>
        <w:adjustRightInd/>
        <w:ind w:left="142" w:hanging="142"/>
        <w:textAlignment w:val="auto"/>
      </w:pPr>
      <w:r w:rsidRPr="00CF1F4A">
        <w:t xml:space="preserve">There were </w:t>
      </w:r>
      <w:r w:rsidR="008225F0" w:rsidRPr="00CF1F4A">
        <w:t>12,167</w:t>
      </w:r>
      <w:r w:rsidRPr="00CF1F4A">
        <w:t xml:space="preserve"> </w:t>
      </w:r>
      <w:r w:rsidR="008225F0" w:rsidRPr="00CF1F4A">
        <w:t>animal</w:t>
      </w:r>
      <w:r w:rsidRPr="00CF1F4A">
        <w:t xml:space="preserve"> holdings constitut</w:t>
      </w:r>
      <w:r w:rsidR="00711258" w:rsidRPr="00CF1F4A">
        <w:t>ing</w:t>
      </w:r>
      <w:r w:rsidRPr="00CF1F4A">
        <w:t xml:space="preserve"> </w:t>
      </w:r>
      <w:r w:rsidR="008225F0" w:rsidRPr="00CF1F4A">
        <w:t>37.8</w:t>
      </w:r>
      <w:r w:rsidRPr="00CF1F4A">
        <w:t xml:space="preserve">% of </w:t>
      </w:r>
      <w:r w:rsidR="008225F0" w:rsidRPr="00CF1F4A">
        <w:t>animal and mixed</w:t>
      </w:r>
      <w:r w:rsidRPr="00CF1F4A">
        <w:t xml:space="preserve"> holdings in </w:t>
      </w:r>
      <w:r w:rsidR="0021776D" w:rsidRPr="00CF1F4A">
        <w:t>Palestine</w:t>
      </w:r>
      <w:r w:rsidRPr="00CF1F4A">
        <w:t xml:space="preserve">. There were </w:t>
      </w:r>
      <w:r w:rsidR="008225F0" w:rsidRPr="00CF1F4A">
        <w:t>20,010</w:t>
      </w:r>
      <w:r w:rsidRPr="00CF1F4A">
        <w:t xml:space="preserve"> mixed holdings constitut</w:t>
      </w:r>
      <w:r w:rsidR="00711258" w:rsidRPr="00CF1F4A">
        <w:t>ing</w:t>
      </w:r>
      <w:r w:rsidRPr="00CF1F4A">
        <w:t xml:space="preserve"> </w:t>
      </w:r>
      <w:r w:rsidR="008225F0" w:rsidRPr="00CF1F4A">
        <w:t>62.2</w:t>
      </w:r>
      <w:r w:rsidRPr="00CF1F4A">
        <w:t xml:space="preserve">% of </w:t>
      </w:r>
      <w:r w:rsidR="008225F0" w:rsidRPr="00CF1F4A">
        <w:t>animal and mixed</w:t>
      </w:r>
      <w:r w:rsidRPr="00CF1F4A">
        <w:t xml:space="preserve"> holdings</w:t>
      </w:r>
      <w:r w:rsidR="008225F0" w:rsidRPr="00CF1F4A">
        <w:t xml:space="preserve"> during</w:t>
      </w:r>
      <w:r w:rsidRPr="00CF1F4A">
        <w:t xml:space="preserve"> the agricultural year </w:t>
      </w:r>
      <w:r w:rsidR="008225F0" w:rsidRPr="00CF1F4A">
        <w:t>2012</w:t>
      </w:r>
      <w:r w:rsidRPr="00CF1F4A">
        <w:t>/</w:t>
      </w:r>
      <w:r w:rsidR="008225F0" w:rsidRPr="00CF1F4A">
        <w:t>2013</w:t>
      </w:r>
      <w:r w:rsidRPr="00CF1F4A">
        <w:t>.</w:t>
      </w:r>
    </w:p>
    <w:p w:rsidR="00404CEC" w:rsidRPr="00CF1F4A" w:rsidRDefault="00404CEC" w:rsidP="006941CB">
      <w:pPr>
        <w:ind w:left="-218"/>
        <w:jc w:val="both"/>
        <w:rPr>
          <w:noProof/>
          <w:sz w:val="10"/>
          <w:szCs w:val="10"/>
        </w:rPr>
      </w:pPr>
    </w:p>
    <w:p w:rsidR="00F334E1" w:rsidRPr="00CF1F4A" w:rsidRDefault="007C0C59" w:rsidP="00B92D78">
      <w:pPr>
        <w:pStyle w:val="BodyText"/>
        <w:numPr>
          <w:ilvl w:val="0"/>
          <w:numId w:val="3"/>
        </w:numPr>
        <w:overflowPunct/>
        <w:autoSpaceDE/>
        <w:autoSpaceDN/>
        <w:adjustRightInd/>
        <w:ind w:left="142" w:hanging="142"/>
        <w:jc w:val="lowKashida"/>
        <w:textAlignment w:val="auto"/>
      </w:pPr>
      <w:r w:rsidRPr="00CF1F4A">
        <w:t>There w</w:t>
      </w:r>
      <w:r w:rsidR="00F334E1" w:rsidRPr="00CF1F4A">
        <w:t xml:space="preserve">ere 33,980 breeding </w:t>
      </w:r>
      <w:r w:rsidR="00B92D78" w:rsidRPr="00CF1F4A">
        <w:t>cows</w:t>
      </w:r>
      <w:r w:rsidR="00F334E1" w:rsidRPr="00CF1F4A">
        <w:rPr>
          <w:rFonts w:ascii="Arial" w:hAnsi="Arial" w:cs="Arial"/>
          <w:sz w:val="16"/>
          <w:szCs w:val="16"/>
        </w:rPr>
        <w:t xml:space="preserve"> </w:t>
      </w:r>
      <w:r w:rsidR="00F334E1" w:rsidRPr="00CF1F4A">
        <w:t xml:space="preserve">in Palestine: 25,612 in the West Bank and 8,368 in Gaza Strip on 01/10/2013. </w:t>
      </w:r>
    </w:p>
    <w:p w:rsidR="005B5FA2" w:rsidRPr="00CF1F4A" w:rsidRDefault="005B5FA2" w:rsidP="006941CB">
      <w:pPr>
        <w:ind w:left="-218"/>
        <w:jc w:val="both"/>
        <w:rPr>
          <w:rFonts w:ascii="Arial" w:hAnsi="Arial" w:cs="Arial"/>
          <w:noProof/>
          <w:sz w:val="10"/>
          <w:szCs w:val="10"/>
        </w:rPr>
      </w:pPr>
    </w:p>
    <w:p w:rsidR="00F334E1" w:rsidRPr="00CF1F4A" w:rsidRDefault="00F334E1" w:rsidP="00331B49">
      <w:pPr>
        <w:pStyle w:val="BodyText"/>
        <w:numPr>
          <w:ilvl w:val="0"/>
          <w:numId w:val="3"/>
        </w:numPr>
        <w:overflowPunct/>
        <w:autoSpaceDE/>
        <w:autoSpaceDN/>
        <w:adjustRightInd/>
        <w:ind w:left="142" w:hanging="142"/>
        <w:jc w:val="lowKashida"/>
        <w:textAlignment w:val="auto"/>
      </w:pPr>
      <w:r w:rsidRPr="00CF1F4A">
        <w:t xml:space="preserve">There were 730,894 breeding sheep in Palestine: 670,332 in the West Bank and 60,562 in Gaza Strip on 01/10/2013.  </w:t>
      </w:r>
    </w:p>
    <w:p w:rsidR="00DC4287" w:rsidRPr="00CF1F4A" w:rsidRDefault="00DC4287" w:rsidP="006941CB">
      <w:pPr>
        <w:ind w:left="-218"/>
        <w:jc w:val="both"/>
        <w:rPr>
          <w:rFonts w:ascii="Arial" w:hAnsi="Arial" w:cs="Arial"/>
          <w:noProof/>
          <w:sz w:val="10"/>
          <w:szCs w:val="10"/>
        </w:rPr>
      </w:pPr>
    </w:p>
    <w:p w:rsidR="00F334E1" w:rsidRPr="00CF1F4A" w:rsidRDefault="00F334E1" w:rsidP="00713F54">
      <w:pPr>
        <w:pStyle w:val="BodyText"/>
        <w:numPr>
          <w:ilvl w:val="0"/>
          <w:numId w:val="3"/>
        </w:numPr>
        <w:overflowPunct/>
        <w:autoSpaceDE/>
        <w:autoSpaceDN/>
        <w:adjustRightInd/>
        <w:ind w:left="142" w:hanging="142"/>
        <w:jc w:val="lowKashida"/>
        <w:textAlignment w:val="auto"/>
      </w:pPr>
      <w:r w:rsidRPr="00CF1F4A">
        <w:t>There were 215,335 breeding goats in Palestine: 204,937 in the West Bank and 10,398 in Gaza Strip on 01/10/</w:t>
      </w:r>
      <w:r w:rsidR="00B02992" w:rsidRPr="00CF1F4A">
        <w:t>2013</w:t>
      </w:r>
      <w:r w:rsidRPr="00CF1F4A">
        <w:t>.</w:t>
      </w:r>
    </w:p>
    <w:p w:rsidR="00EF75AA" w:rsidRPr="00CF1F4A" w:rsidRDefault="00EF75AA" w:rsidP="006941CB">
      <w:pPr>
        <w:ind w:left="-218"/>
        <w:jc w:val="both"/>
        <w:rPr>
          <w:rFonts w:ascii="Arial" w:hAnsi="Arial" w:cs="Arial"/>
          <w:noProof/>
          <w:sz w:val="10"/>
          <w:szCs w:val="10"/>
        </w:rPr>
      </w:pPr>
    </w:p>
    <w:p w:rsidR="006418EE" w:rsidRPr="00CF1F4A" w:rsidRDefault="006418EE" w:rsidP="006418EE">
      <w:pPr>
        <w:pStyle w:val="BodyText"/>
        <w:numPr>
          <w:ilvl w:val="0"/>
          <w:numId w:val="3"/>
        </w:numPr>
        <w:overflowPunct/>
        <w:autoSpaceDE/>
        <w:autoSpaceDN/>
        <w:adjustRightInd/>
        <w:ind w:left="142" w:hanging="142"/>
        <w:jc w:val="lowKashida"/>
        <w:textAlignment w:val="auto"/>
      </w:pPr>
      <w:r w:rsidRPr="00CF1F4A">
        <w:t>27.4% of households in Palestine have a garden as on 24/03/2015.</w:t>
      </w:r>
    </w:p>
    <w:p w:rsidR="00EF75AA" w:rsidRPr="00CF1F4A" w:rsidRDefault="00EF75AA" w:rsidP="00EF75AA">
      <w:pPr>
        <w:pStyle w:val="ListParagraph"/>
        <w:rPr>
          <w:rtl/>
        </w:rPr>
      </w:pPr>
    </w:p>
    <w:p w:rsidR="00AB3882" w:rsidRPr="00CF1F4A" w:rsidRDefault="008C0B40" w:rsidP="008C0B40">
      <w:pPr>
        <w:pStyle w:val="ListParagraph"/>
        <w:jc w:val="center"/>
        <w:rPr>
          <w:rtl/>
        </w:rPr>
      </w:pPr>
      <w:r w:rsidRPr="00CF1F4A">
        <w:rPr>
          <w:bdr w:val="single" w:sz="4" w:space="0" w:color="auto"/>
          <w:rtl/>
        </w:rPr>
        <w:lastRenderedPageBreak/>
        <w:drawing>
          <wp:inline distT="0" distB="0" distL="0" distR="0">
            <wp:extent cx="3620627" cy="5112000"/>
            <wp:effectExtent l="19050" t="0" r="0" b="0"/>
            <wp:docPr id="10" name="Picture 2" descr="G:\بعد ادخال المواد عليه كتاب فلسطين الاحصائي 2017\الخرائط  الاحصائية 2017\الخرائط 2017\Garden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بعد ادخال المواد عليه كتاب فلسطين الاحصائي 2017\الخرائط  الاحصائية 2017\الخرائط 2017\Garden_En.png"/>
                    <pic:cNvPicPr>
                      <a:picLocks noChangeAspect="1" noChangeArrowheads="1"/>
                    </pic:cNvPicPr>
                  </pic:nvPicPr>
                  <pic:blipFill>
                    <a:blip r:embed="rId20"/>
                    <a:srcRect/>
                    <a:stretch>
                      <a:fillRect/>
                    </a:stretch>
                  </pic:blipFill>
                  <pic:spPr bwMode="auto">
                    <a:xfrm>
                      <a:off x="0" y="0"/>
                      <a:ext cx="3620627" cy="5112000"/>
                    </a:xfrm>
                    <a:prstGeom prst="rect">
                      <a:avLst/>
                    </a:prstGeom>
                    <a:noFill/>
                    <a:ln w="9525">
                      <a:noFill/>
                      <a:miter lim="800000"/>
                      <a:headEnd/>
                      <a:tailEnd/>
                    </a:ln>
                  </pic:spPr>
                </pic:pic>
              </a:graphicData>
            </a:graphic>
          </wp:inline>
        </w:drawing>
      </w:r>
    </w:p>
    <w:p w:rsidR="00AB3882" w:rsidRPr="00CF1F4A" w:rsidRDefault="00AB3882" w:rsidP="00EF75AA">
      <w:pPr>
        <w:pStyle w:val="ListParagraph"/>
        <w:rPr>
          <w:rFonts w:ascii="Arial" w:hAnsi="Arial" w:cs="Arial"/>
          <w:sz w:val="10"/>
          <w:szCs w:val="10"/>
          <w:rtl/>
        </w:rPr>
      </w:pPr>
    </w:p>
    <w:p w:rsidR="006418EE" w:rsidRPr="00CF1F4A" w:rsidRDefault="006418EE" w:rsidP="00680CE9">
      <w:pPr>
        <w:pStyle w:val="BodyText"/>
        <w:numPr>
          <w:ilvl w:val="0"/>
          <w:numId w:val="3"/>
        </w:numPr>
        <w:overflowPunct/>
        <w:autoSpaceDE/>
        <w:autoSpaceDN/>
        <w:adjustRightInd/>
        <w:ind w:left="142" w:hanging="142"/>
        <w:jc w:val="lowKashida"/>
        <w:textAlignment w:val="auto"/>
      </w:pPr>
      <w:r w:rsidRPr="00CF1F4A">
        <w:t xml:space="preserve">91.9% of households </w:t>
      </w:r>
      <w:r w:rsidR="00680CE9" w:rsidRPr="00CF1F4A">
        <w:t xml:space="preserve">were </w:t>
      </w:r>
      <w:r w:rsidRPr="00CF1F4A">
        <w:t xml:space="preserve">with a garden in Palestine </w:t>
      </w:r>
      <w:r w:rsidR="00680CE9" w:rsidRPr="00CF1F4A">
        <w:t xml:space="preserve">and </w:t>
      </w:r>
      <w:r w:rsidRPr="00CF1F4A">
        <w:t>utilized for agricultural activity during agricultural year 2013/2014.</w:t>
      </w:r>
    </w:p>
    <w:p w:rsidR="00EF75AA" w:rsidRPr="00CF1F4A" w:rsidRDefault="00EF75AA" w:rsidP="006941CB">
      <w:pPr>
        <w:ind w:left="-218"/>
        <w:jc w:val="both"/>
        <w:rPr>
          <w:rFonts w:ascii="Arial" w:hAnsi="Arial" w:cs="Arial"/>
          <w:noProof/>
          <w:sz w:val="10"/>
          <w:szCs w:val="10"/>
        </w:rPr>
      </w:pPr>
    </w:p>
    <w:p w:rsidR="006418EE" w:rsidRPr="00CF1F4A" w:rsidRDefault="006418EE" w:rsidP="001402CB">
      <w:pPr>
        <w:pStyle w:val="BodyText"/>
        <w:numPr>
          <w:ilvl w:val="0"/>
          <w:numId w:val="3"/>
        </w:numPr>
        <w:overflowPunct/>
        <w:autoSpaceDE/>
        <w:autoSpaceDN/>
        <w:adjustRightInd/>
        <w:ind w:left="142" w:hanging="142"/>
        <w:jc w:val="lowKashida"/>
        <w:textAlignment w:val="auto"/>
      </w:pPr>
      <w:r w:rsidRPr="00CF1F4A">
        <w:t xml:space="preserve">10.0% of households in Palestine reared livestock (domestic) as </w:t>
      </w:r>
      <w:r w:rsidR="001402CB" w:rsidRPr="00CF1F4A">
        <w:t xml:space="preserve">on </w:t>
      </w:r>
      <w:r w:rsidRPr="00CF1F4A">
        <w:t>24/03/2015.</w:t>
      </w:r>
    </w:p>
    <w:p w:rsidR="00EF75AA" w:rsidRPr="00CF1F4A" w:rsidRDefault="00EF75AA" w:rsidP="00EF75AA">
      <w:pPr>
        <w:bidi/>
        <w:rPr>
          <w:sz w:val="10"/>
          <w:szCs w:val="10"/>
        </w:rPr>
      </w:pPr>
    </w:p>
    <w:p w:rsidR="006418EE" w:rsidRPr="00CF1F4A" w:rsidRDefault="00DE1D4D" w:rsidP="000C724A">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There were about</w:t>
      </w:r>
      <w:r w:rsidR="000C724A" w:rsidRPr="00CF1F4A">
        <w:rPr>
          <w:rFonts w:cs="Times New Roman"/>
          <w:rtl/>
        </w:rPr>
        <w:t xml:space="preserve">2,494,226 </w:t>
      </w:r>
      <w:r w:rsidR="000C724A" w:rsidRPr="00CF1F4A">
        <w:rPr>
          <w:rFonts w:cs="Times New Roman"/>
        </w:rPr>
        <w:t xml:space="preserve"> </w:t>
      </w:r>
      <w:r w:rsidR="006418EE" w:rsidRPr="00CF1F4A">
        <w:rPr>
          <w:rFonts w:cs="Times New Roman"/>
        </w:rPr>
        <w:t xml:space="preserve">horticultural trees in gardens in Palestine as </w:t>
      </w:r>
      <w:r w:rsidR="001402CB" w:rsidRPr="00CF1F4A">
        <w:rPr>
          <w:rFonts w:cs="Times New Roman"/>
        </w:rPr>
        <w:t xml:space="preserve">on </w:t>
      </w:r>
      <w:r w:rsidR="006418EE" w:rsidRPr="00CF1F4A">
        <w:rPr>
          <w:rFonts w:cs="Times New Roman"/>
        </w:rPr>
        <w:t>24/03/2015</w:t>
      </w:r>
      <w:r w:rsidR="00F57495" w:rsidRPr="00CF1F4A">
        <w:rPr>
          <w:rFonts w:cs="Times New Roman"/>
        </w:rPr>
        <w:t>.</w:t>
      </w:r>
    </w:p>
    <w:p w:rsidR="00F57495" w:rsidRPr="00CF1F4A" w:rsidRDefault="00F57495" w:rsidP="00F57495">
      <w:pPr>
        <w:pStyle w:val="ListParagraph"/>
        <w:rPr>
          <w:rFonts w:cs="Times New Roman"/>
          <w:sz w:val="10"/>
          <w:szCs w:val="10"/>
        </w:rPr>
      </w:pPr>
    </w:p>
    <w:p w:rsidR="00F57495" w:rsidRPr="00CF1F4A" w:rsidRDefault="00F57495" w:rsidP="00F57495">
      <w:pPr>
        <w:pStyle w:val="BodyText"/>
        <w:numPr>
          <w:ilvl w:val="0"/>
          <w:numId w:val="3"/>
        </w:numPr>
        <w:overflowPunct/>
        <w:autoSpaceDE/>
        <w:autoSpaceDN/>
        <w:adjustRightInd/>
        <w:ind w:left="142" w:hanging="142"/>
        <w:textAlignment w:val="auto"/>
      </w:pPr>
      <w:r w:rsidRPr="00CF1F4A">
        <w:t>During the agricultural year 2010/2011, the area of cultivated land was 931.5 km</w:t>
      </w:r>
      <w:r w:rsidRPr="00CF1F4A">
        <w:rPr>
          <w:rFonts w:cs="Times New Roman"/>
        </w:rPr>
        <w:t>²</w:t>
      </w:r>
      <w:r w:rsidRPr="00CF1F4A">
        <w:t>; constituting 15.5% of the total area of Palestine.</w:t>
      </w:r>
    </w:p>
    <w:p w:rsidR="00EF75AA" w:rsidRPr="00CF1F4A" w:rsidRDefault="00EF75AA" w:rsidP="00EF75AA">
      <w:pPr>
        <w:pStyle w:val="BodyText"/>
        <w:overflowPunct/>
        <w:autoSpaceDE/>
        <w:autoSpaceDN/>
        <w:adjustRightInd/>
        <w:jc w:val="lowKashida"/>
        <w:textAlignment w:val="auto"/>
        <w:rPr>
          <w:sz w:val="10"/>
          <w:szCs w:val="10"/>
        </w:rPr>
      </w:pPr>
    </w:p>
    <w:p w:rsidR="00275B40" w:rsidRPr="00CF1F4A" w:rsidRDefault="00275B40" w:rsidP="006B37B7">
      <w:pPr>
        <w:pStyle w:val="BodyText"/>
        <w:numPr>
          <w:ilvl w:val="0"/>
          <w:numId w:val="11"/>
        </w:numPr>
        <w:overflowPunct/>
        <w:autoSpaceDE/>
        <w:adjustRightInd/>
        <w:ind w:left="142" w:hanging="142"/>
        <w:jc w:val="lowKashida"/>
        <w:textAlignment w:val="auto"/>
      </w:pPr>
      <w:r w:rsidRPr="00CF1F4A">
        <w:t xml:space="preserve">The total quantity of pressed olives in </w:t>
      </w:r>
      <w:r w:rsidR="006B37B7" w:rsidRPr="00CF1F4A">
        <w:t>2016</w:t>
      </w:r>
      <w:r w:rsidRPr="00CF1F4A">
        <w:t xml:space="preserve"> was </w:t>
      </w:r>
      <w:r w:rsidR="006B37B7" w:rsidRPr="00CF1F4A">
        <w:t>84</w:t>
      </w:r>
      <w:r w:rsidRPr="00CF1F4A">
        <w:t>,14</w:t>
      </w:r>
      <w:r w:rsidR="006B37B7" w:rsidRPr="00CF1F4A">
        <w:t>7</w:t>
      </w:r>
      <w:r w:rsidRPr="00CF1F4A">
        <w:t>.</w:t>
      </w:r>
      <w:r w:rsidR="006B37B7" w:rsidRPr="00CF1F4A">
        <w:t>6</w:t>
      </w:r>
      <w:r w:rsidRPr="00CF1F4A">
        <w:t xml:space="preserve"> tons and the quantity of extracted oil was </w:t>
      </w:r>
      <w:r w:rsidR="006B37B7" w:rsidRPr="00CF1F4A">
        <w:t>20</w:t>
      </w:r>
      <w:r w:rsidRPr="00CF1F4A">
        <w:t>,</w:t>
      </w:r>
      <w:r w:rsidR="006B37B7" w:rsidRPr="00CF1F4A">
        <w:t>134</w:t>
      </w:r>
      <w:r w:rsidRPr="00CF1F4A">
        <w:t>.</w:t>
      </w:r>
      <w:r w:rsidR="006B37B7" w:rsidRPr="00CF1F4A">
        <w:t>9</w:t>
      </w:r>
      <w:r w:rsidRPr="00CF1F4A">
        <w:t xml:space="preserve"> tons. </w:t>
      </w:r>
    </w:p>
    <w:p w:rsidR="00275B40" w:rsidRPr="00CF1F4A" w:rsidRDefault="00275B40" w:rsidP="00275B40">
      <w:pPr>
        <w:pStyle w:val="ListParagraph"/>
        <w:rPr>
          <w:sz w:val="18"/>
          <w:szCs w:val="14"/>
        </w:rPr>
      </w:pPr>
    </w:p>
    <w:p w:rsidR="000128C2" w:rsidRPr="00CF1F4A" w:rsidRDefault="00275B40" w:rsidP="000128C2">
      <w:pPr>
        <w:pStyle w:val="BodyText"/>
        <w:numPr>
          <w:ilvl w:val="0"/>
          <w:numId w:val="11"/>
        </w:numPr>
        <w:overflowPunct/>
        <w:autoSpaceDE/>
        <w:adjustRightInd/>
        <w:ind w:left="142" w:hanging="142"/>
        <w:jc w:val="lowKashida"/>
        <w:textAlignment w:val="auto"/>
      </w:pPr>
      <w:r w:rsidRPr="00CF1F4A">
        <w:lastRenderedPageBreak/>
        <w:t xml:space="preserve">The value added of olive pressing activity totaled USD </w:t>
      </w:r>
      <w:r w:rsidR="006B37B7" w:rsidRPr="00CF1F4A">
        <w:t>8</w:t>
      </w:r>
      <w:r w:rsidRPr="00CF1F4A">
        <w:t>.</w:t>
      </w:r>
      <w:r w:rsidR="006B37B7" w:rsidRPr="00CF1F4A">
        <w:t>8</w:t>
      </w:r>
      <w:r w:rsidRPr="00CF1F4A">
        <w:t xml:space="preserve"> million, while the intermediate consumption and output of olive presses totaled USD </w:t>
      </w:r>
      <w:r w:rsidR="006B37B7" w:rsidRPr="00CF1F4A">
        <w:t>2</w:t>
      </w:r>
      <w:r w:rsidRPr="00CF1F4A">
        <w:t>.</w:t>
      </w:r>
      <w:r w:rsidR="006B37B7" w:rsidRPr="00CF1F4A">
        <w:t>0</w:t>
      </w:r>
      <w:r w:rsidRPr="00CF1F4A">
        <w:t xml:space="preserve"> million and USD 10.</w:t>
      </w:r>
      <w:r w:rsidR="006B37B7" w:rsidRPr="00CF1F4A">
        <w:t>8</w:t>
      </w:r>
      <w:r w:rsidRPr="00CF1F4A">
        <w:t xml:space="preserve"> million respectively.</w:t>
      </w:r>
    </w:p>
    <w:p w:rsidR="000128C2" w:rsidRPr="00CF1F4A" w:rsidRDefault="000128C2" w:rsidP="000128C2">
      <w:pPr>
        <w:pStyle w:val="ListParagraph"/>
        <w:rPr>
          <w:rFonts w:cs="Times New Roman"/>
          <w:sz w:val="10"/>
          <w:szCs w:val="10"/>
        </w:rPr>
      </w:pPr>
    </w:p>
    <w:p w:rsidR="00EF75AA" w:rsidRPr="00CF1F4A" w:rsidRDefault="00EF75AA" w:rsidP="00ED61F0">
      <w:pPr>
        <w:pStyle w:val="BodyText"/>
        <w:numPr>
          <w:ilvl w:val="0"/>
          <w:numId w:val="11"/>
        </w:numPr>
        <w:overflowPunct/>
        <w:autoSpaceDE/>
        <w:adjustRightInd/>
        <w:ind w:left="142" w:hanging="142"/>
        <w:jc w:val="lowKashida"/>
        <w:textAlignment w:val="auto"/>
        <w:rPr>
          <w:rFonts w:cs="Times New Roman"/>
        </w:rPr>
      </w:pPr>
      <w:r w:rsidRPr="00CF1F4A">
        <w:rPr>
          <w:rFonts w:cs="Times New Roman"/>
        </w:rPr>
        <w:t xml:space="preserve">The population density in Palestine was </w:t>
      </w:r>
      <w:r w:rsidR="00ED61F0" w:rsidRPr="00CF1F4A">
        <w:rPr>
          <w:rFonts w:cs="Times New Roman"/>
          <w:rtl/>
        </w:rPr>
        <w:t>823</w:t>
      </w:r>
      <w:r w:rsidRPr="00CF1F4A">
        <w:rPr>
          <w:rFonts w:cs="Times New Roman"/>
        </w:rPr>
        <w:t xml:space="preserve"> capita/km</w:t>
      </w:r>
      <w:r w:rsidR="003940C7" w:rsidRPr="00CF1F4A">
        <w:rPr>
          <w:rFonts w:cs="Times New Roman"/>
          <w:vertAlign w:val="superscript"/>
        </w:rPr>
        <w:t>2</w:t>
      </w:r>
      <w:r w:rsidRPr="00CF1F4A">
        <w:rPr>
          <w:rFonts w:cs="Times New Roman"/>
        </w:rPr>
        <w:t xml:space="preserve"> at mid-year </w:t>
      </w:r>
      <w:r w:rsidR="00ED61F0" w:rsidRPr="00CF1F4A">
        <w:rPr>
          <w:rFonts w:cs="Times New Roman"/>
        </w:rPr>
        <w:t>2017</w:t>
      </w:r>
      <w:r w:rsidRPr="00CF1F4A">
        <w:rPr>
          <w:rFonts w:cs="Times New Roman"/>
        </w:rPr>
        <w:t xml:space="preserve">: regionally it was </w:t>
      </w:r>
      <w:r w:rsidR="00695A62" w:rsidRPr="00CF1F4A">
        <w:rPr>
          <w:rFonts w:cs="Times New Roman"/>
        </w:rPr>
        <w:t>5</w:t>
      </w:r>
      <w:r w:rsidR="00ED61F0" w:rsidRPr="00CF1F4A">
        <w:rPr>
          <w:rFonts w:cs="Times New Roman"/>
        </w:rPr>
        <w:t>32</w:t>
      </w:r>
      <w:r w:rsidRPr="00CF1F4A">
        <w:rPr>
          <w:rFonts w:cs="Times New Roman"/>
          <w:rtl/>
        </w:rPr>
        <w:t xml:space="preserve"> </w:t>
      </w:r>
      <w:r w:rsidRPr="00CF1F4A">
        <w:rPr>
          <w:rFonts w:cs="Times New Roman"/>
        </w:rPr>
        <w:t>capita/km</w:t>
      </w:r>
      <w:r w:rsidR="003940C7" w:rsidRPr="00CF1F4A">
        <w:rPr>
          <w:rFonts w:cs="Times New Roman"/>
          <w:vertAlign w:val="superscript"/>
        </w:rPr>
        <w:t>2</w:t>
      </w:r>
      <w:r w:rsidRPr="00CF1F4A">
        <w:rPr>
          <w:rFonts w:cs="Times New Roman"/>
        </w:rPr>
        <w:t xml:space="preserve"> in the West Bank and </w:t>
      </w:r>
      <w:r w:rsidR="00695A62" w:rsidRPr="00CF1F4A">
        <w:rPr>
          <w:rFonts w:cs="Times New Roman"/>
        </w:rPr>
        <w:t>5</w:t>
      </w:r>
      <w:r w:rsidRPr="00CF1F4A">
        <w:rPr>
          <w:rFonts w:cs="Times New Roman"/>
        </w:rPr>
        <w:t>,</w:t>
      </w:r>
      <w:r w:rsidR="00ED61F0" w:rsidRPr="00CF1F4A">
        <w:rPr>
          <w:rFonts w:cs="Times New Roman"/>
        </w:rPr>
        <w:t>324</w:t>
      </w:r>
      <w:r w:rsidRPr="00CF1F4A">
        <w:rPr>
          <w:rFonts w:cs="Times New Roman"/>
        </w:rPr>
        <w:t xml:space="preserve"> capita/km</w:t>
      </w:r>
      <w:r w:rsidRPr="00CF1F4A">
        <w:rPr>
          <w:rFonts w:cs="Times New Roman"/>
          <w:vertAlign w:val="superscript"/>
        </w:rPr>
        <w:t>2</w:t>
      </w:r>
      <w:r w:rsidRPr="00CF1F4A">
        <w:rPr>
          <w:rFonts w:cs="Times New Roman"/>
        </w:rPr>
        <w:t xml:space="preserve"> in Gaza Strip. </w:t>
      </w:r>
    </w:p>
    <w:p w:rsidR="00C948FF" w:rsidRPr="00CF1F4A" w:rsidRDefault="00C948FF" w:rsidP="00C948FF">
      <w:pPr>
        <w:pStyle w:val="BodyText"/>
        <w:overflowPunct/>
        <w:autoSpaceDE/>
        <w:adjustRightInd/>
        <w:ind w:left="142"/>
        <w:jc w:val="lowKashida"/>
        <w:textAlignment w:val="auto"/>
        <w:rPr>
          <w:sz w:val="10"/>
          <w:szCs w:val="10"/>
        </w:rPr>
      </w:pPr>
    </w:p>
    <w:p w:rsidR="00C948FF" w:rsidRPr="00CF1F4A" w:rsidRDefault="00C948FF" w:rsidP="000128C2">
      <w:pPr>
        <w:pStyle w:val="BodyText"/>
        <w:overflowPunct/>
        <w:autoSpaceDE/>
        <w:adjustRightInd/>
        <w:ind w:left="142"/>
        <w:jc w:val="center"/>
        <w:textAlignment w:val="auto"/>
      </w:pPr>
      <w:r w:rsidRPr="00CF1F4A">
        <w:rPr>
          <w:noProof/>
          <w:bdr w:val="single" w:sz="4" w:space="0" w:color="auto"/>
        </w:rPr>
        <w:drawing>
          <wp:inline distT="0" distB="0" distL="0" distR="0">
            <wp:extent cx="2955152" cy="4176000"/>
            <wp:effectExtent l="19050" t="0" r="0" b="0"/>
            <wp:docPr id="16" name="Picture 6" descr="G:\بعد ادخال المواد عليه كتاب فلسطين الاحصائي 2017\الخرائط  الاحصائية 2017\الخرائط 2017\population_density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بعد ادخال المواد عليه كتاب فلسطين الاحصائي 2017\الخرائط  الاحصائية 2017\الخرائط 2017\population_density_En.png"/>
                    <pic:cNvPicPr>
                      <a:picLocks noChangeAspect="1" noChangeArrowheads="1"/>
                    </pic:cNvPicPr>
                  </pic:nvPicPr>
                  <pic:blipFill>
                    <a:blip r:embed="rId21"/>
                    <a:srcRect/>
                    <a:stretch>
                      <a:fillRect/>
                    </a:stretch>
                  </pic:blipFill>
                  <pic:spPr bwMode="auto">
                    <a:xfrm>
                      <a:off x="0" y="0"/>
                      <a:ext cx="2955152" cy="4176000"/>
                    </a:xfrm>
                    <a:prstGeom prst="rect">
                      <a:avLst/>
                    </a:prstGeom>
                    <a:noFill/>
                    <a:ln w="9525">
                      <a:noFill/>
                      <a:miter lim="800000"/>
                      <a:headEnd/>
                      <a:tailEnd/>
                    </a:ln>
                  </pic:spPr>
                </pic:pic>
              </a:graphicData>
            </a:graphic>
          </wp:inline>
        </w:drawing>
      </w:r>
    </w:p>
    <w:p w:rsidR="00020126" w:rsidRPr="00CF1F4A" w:rsidRDefault="009C673D" w:rsidP="00DB6ADE">
      <w:pPr>
        <w:pStyle w:val="ListParagraph"/>
        <w:bidi w:val="0"/>
        <w:ind w:left="0"/>
        <w:jc w:val="lowKashida"/>
        <w:rPr>
          <w:rFonts w:cs="Times New Roman"/>
          <w:i/>
          <w:iCs/>
          <w:sz w:val="20"/>
          <w:u w:val="single"/>
        </w:rPr>
      </w:pPr>
      <w:r w:rsidRPr="00CF1F4A">
        <w:rPr>
          <w:rFonts w:cs="Times New Roman"/>
          <w:i/>
          <w:iCs/>
          <w:sz w:val="20"/>
          <w:u w:val="single"/>
        </w:rPr>
        <w:t>For more detail</w:t>
      </w:r>
      <w:r w:rsidR="00D9796F" w:rsidRPr="00CF1F4A">
        <w:rPr>
          <w:rFonts w:cs="Times New Roman"/>
          <w:i/>
          <w:iCs/>
          <w:sz w:val="20"/>
          <w:u w:val="single"/>
        </w:rPr>
        <w:t>s</w:t>
      </w:r>
      <w:r w:rsidRPr="00CF1F4A">
        <w:rPr>
          <w:rFonts w:cs="Times New Roman"/>
          <w:i/>
          <w:iCs/>
          <w:sz w:val="20"/>
          <w:u w:val="single"/>
        </w:rPr>
        <w:t xml:space="preserve"> </w:t>
      </w:r>
      <w:r w:rsidR="00D9796F" w:rsidRPr="00CF1F4A">
        <w:rPr>
          <w:rFonts w:cs="Times New Roman"/>
          <w:i/>
          <w:iCs/>
          <w:sz w:val="20"/>
          <w:u w:val="single"/>
        </w:rPr>
        <w:t>regarding a</w:t>
      </w:r>
      <w:r w:rsidRPr="00CF1F4A">
        <w:rPr>
          <w:rFonts w:cs="Times New Roman"/>
          <w:i/>
          <w:iCs/>
          <w:sz w:val="20"/>
          <w:u w:val="single"/>
        </w:rPr>
        <w:t xml:space="preserve">griculture and </w:t>
      </w:r>
      <w:r w:rsidR="00D9796F" w:rsidRPr="00CF1F4A">
        <w:rPr>
          <w:rFonts w:cs="Times New Roman"/>
          <w:i/>
          <w:iCs/>
          <w:sz w:val="20"/>
          <w:u w:val="single"/>
        </w:rPr>
        <w:t>l</w:t>
      </w:r>
      <w:r w:rsidRPr="00CF1F4A">
        <w:rPr>
          <w:rFonts w:cs="Times New Roman"/>
          <w:i/>
          <w:iCs/>
          <w:sz w:val="20"/>
          <w:u w:val="single"/>
        </w:rPr>
        <w:t xml:space="preserve">and </w:t>
      </w:r>
      <w:r w:rsidR="00D9796F" w:rsidRPr="00CF1F4A">
        <w:rPr>
          <w:rFonts w:cs="Times New Roman"/>
          <w:i/>
          <w:iCs/>
          <w:sz w:val="20"/>
          <w:u w:val="single"/>
        </w:rPr>
        <w:t>u</w:t>
      </w:r>
      <w:r w:rsidRPr="00CF1F4A">
        <w:rPr>
          <w:rFonts w:cs="Times New Roman"/>
          <w:i/>
          <w:iCs/>
          <w:sz w:val="20"/>
          <w:u w:val="single"/>
        </w:rPr>
        <w:t>se</w:t>
      </w:r>
      <w:r w:rsidR="00D9796F" w:rsidRPr="00CF1F4A">
        <w:rPr>
          <w:rFonts w:cs="Times New Roman"/>
          <w:i/>
          <w:iCs/>
          <w:sz w:val="20"/>
          <w:u w:val="single"/>
        </w:rPr>
        <w:t>,</w:t>
      </w:r>
      <w:r w:rsidRPr="00CF1F4A">
        <w:rPr>
          <w:rFonts w:cs="Times New Roman"/>
          <w:i/>
          <w:iCs/>
          <w:sz w:val="20"/>
          <w:u w:val="single"/>
        </w:rPr>
        <w:t xml:space="preserve"> </w:t>
      </w:r>
      <w:r w:rsidR="0037009A" w:rsidRPr="00CF1F4A">
        <w:rPr>
          <w:rFonts w:cs="Times New Roman"/>
          <w:i/>
          <w:iCs/>
          <w:sz w:val="20"/>
          <w:u w:val="single"/>
        </w:rPr>
        <w:t xml:space="preserve">see </w:t>
      </w:r>
      <w:r w:rsidR="00D9796F" w:rsidRPr="00CF1F4A">
        <w:rPr>
          <w:rFonts w:cs="Times New Roman"/>
          <w:i/>
          <w:iCs/>
          <w:sz w:val="20"/>
          <w:u w:val="single"/>
        </w:rPr>
        <w:t xml:space="preserve">the </w:t>
      </w:r>
      <w:r w:rsidR="0037009A" w:rsidRPr="00CF1F4A">
        <w:rPr>
          <w:rFonts w:cs="Times New Roman"/>
          <w:i/>
          <w:iCs/>
          <w:sz w:val="20"/>
          <w:u w:val="single"/>
        </w:rPr>
        <w:t xml:space="preserve">tables </w:t>
      </w:r>
      <w:r w:rsidRPr="00CF1F4A">
        <w:rPr>
          <w:rFonts w:cs="Times New Roman"/>
          <w:i/>
          <w:iCs/>
          <w:sz w:val="20"/>
          <w:u w:val="single"/>
        </w:rPr>
        <w:t xml:space="preserve">in chapter </w:t>
      </w:r>
      <w:r w:rsidR="00DB6ADE" w:rsidRPr="00CF1F4A">
        <w:rPr>
          <w:rFonts w:cs="Times New Roman" w:hint="cs"/>
          <w:i/>
          <w:iCs/>
          <w:sz w:val="20"/>
          <w:u w:val="single"/>
          <w:rtl/>
        </w:rPr>
        <w:t>10</w:t>
      </w:r>
      <w:r w:rsidRPr="00CF1F4A">
        <w:rPr>
          <w:rFonts w:cs="Times New Roman"/>
          <w:i/>
          <w:iCs/>
          <w:sz w:val="20"/>
          <w:u w:val="single"/>
        </w:rPr>
        <w:t xml:space="preserve"> </w:t>
      </w:r>
      <w:r w:rsidR="00D9796F" w:rsidRPr="00CF1F4A">
        <w:rPr>
          <w:rFonts w:cs="Times New Roman"/>
          <w:i/>
          <w:iCs/>
          <w:sz w:val="20"/>
          <w:u w:val="single"/>
        </w:rPr>
        <w:t>of the</w:t>
      </w:r>
      <w:r w:rsidRPr="00CF1F4A">
        <w:rPr>
          <w:rFonts w:cs="Times New Roman"/>
          <w:i/>
          <w:iCs/>
          <w:sz w:val="20"/>
          <w:u w:val="single"/>
        </w:rPr>
        <w:t xml:space="preserve"> Ar</w:t>
      </w:r>
      <w:r w:rsidR="00D9796F" w:rsidRPr="00CF1F4A">
        <w:rPr>
          <w:rFonts w:cs="Times New Roman"/>
          <w:i/>
          <w:iCs/>
          <w:sz w:val="20"/>
          <w:u w:val="single"/>
        </w:rPr>
        <w:t>a</w:t>
      </w:r>
      <w:r w:rsidRPr="00CF1F4A">
        <w:rPr>
          <w:rFonts w:cs="Times New Roman"/>
          <w:i/>
          <w:iCs/>
          <w:sz w:val="20"/>
          <w:u w:val="single"/>
        </w:rPr>
        <w:t xml:space="preserve">bic </w:t>
      </w:r>
      <w:r w:rsidR="00D9796F" w:rsidRPr="00CF1F4A">
        <w:rPr>
          <w:rFonts w:cs="Times New Roman"/>
          <w:i/>
          <w:iCs/>
          <w:sz w:val="20"/>
          <w:u w:val="single"/>
        </w:rPr>
        <w:t>section, p</w:t>
      </w:r>
      <w:r w:rsidRPr="00CF1F4A">
        <w:rPr>
          <w:rFonts w:cs="Times New Roman"/>
          <w:i/>
          <w:iCs/>
          <w:sz w:val="20"/>
          <w:u w:val="single"/>
        </w:rPr>
        <w:t>age</w:t>
      </w:r>
      <w:r w:rsidR="00D9796F" w:rsidRPr="00CF1F4A">
        <w:rPr>
          <w:rFonts w:cs="Times New Roman"/>
          <w:i/>
          <w:iCs/>
          <w:sz w:val="20"/>
          <w:u w:val="single"/>
        </w:rPr>
        <w:t>s</w:t>
      </w:r>
      <w:r w:rsidR="006A480D" w:rsidRPr="00CF1F4A">
        <w:rPr>
          <w:rFonts w:cs="Times New Roman"/>
          <w:i/>
          <w:iCs/>
          <w:sz w:val="20"/>
          <w:u w:val="single"/>
        </w:rPr>
        <w:t xml:space="preserve"> </w:t>
      </w:r>
      <w:r w:rsidR="00DB6ADE" w:rsidRPr="00CF1F4A">
        <w:rPr>
          <w:rFonts w:cs="Times New Roman" w:hint="cs"/>
          <w:i/>
          <w:iCs/>
          <w:sz w:val="20"/>
          <w:u w:val="single"/>
          <w:rtl/>
        </w:rPr>
        <w:t>119</w:t>
      </w:r>
      <w:r w:rsidR="006A480D" w:rsidRPr="00CF1F4A">
        <w:rPr>
          <w:rFonts w:cs="Times New Roman"/>
          <w:i/>
          <w:iCs/>
          <w:sz w:val="20"/>
          <w:u w:val="single"/>
        </w:rPr>
        <w:t>-</w:t>
      </w:r>
      <w:r w:rsidR="00DB6ADE" w:rsidRPr="00CF1F4A">
        <w:rPr>
          <w:rFonts w:cs="Times New Roman" w:hint="cs"/>
          <w:i/>
          <w:iCs/>
          <w:sz w:val="20"/>
          <w:u w:val="single"/>
          <w:rtl/>
        </w:rPr>
        <w:t>136</w:t>
      </w:r>
      <w:r w:rsidR="00D9796F" w:rsidRPr="00CF1F4A">
        <w:rPr>
          <w:rFonts w:cs="Times New Roman"/>
          <w:i/>
          <w:iCs/>
          <w:sz w:val="20"/>
          <w:u w:val="single"/>
        </w:rPr>
        <w:t>.</w:t>
      </w:r>
    </w:p>
    <w:p w:rsidR="009C673D" w:rsidRPr="00CF1F4A" w:rsidRDefault="009C673D" w:rsidP="009C673D">
      <w:pPr>
        <w:pStyle w:val="ListParagraph"/>
        <w:bidi w:val="0"/>
        <w:ind w:left="0"/>
        <w:rPr>
          <w:sz w:val="20"/>
          <w:szCs w:val="16"/>
        </w:rPr>
      </w:pPr>
    </w:p>
    <w:p w:rsidR="00020126" w:rsidRPr="00CF1F4A" w:rsidRDefault="00020126" w:rsidP="00331B49">
      <w:pPr>
        <w:pStyle w:val="Title"/>
        <w:numPr>
          <w:ilvl w:val="0"/>
          <w:numId w:val="2"/>
        </w:numPr>
        <w:bidi w:val="0"/>
        <w:ind w:left="98" w:hanging="308"/>
        <w:jc w:val="left"/>
        <w:rPr>
          <w:rFonts w:cs="Traditional Arabic"/>
          <w:sz w:val="20"/>
          <w:szCs w:val="20"/>
        </w:rPr>
      </w:pPr>
      <w:r w:rsidRPr="00CF1F4A">
        <w:rPr>
          <w:rFonts w:cs="Traditional Arabic"/>
          <w:sz w:val="20"/>
          <w:szCs w:val="20"/>
        </w:rPr>
        <w:t xml:space="preserve">Environment and Natural Resources  </w:t>
      </w:r>
    </w:p>
    <w:p w:rsidR="006A1BCD" w:rsidRPr="00CF1F4A" w:rsidRDefault="006A1BCD" w:rsidP="00F57495">
      <w:pPr>
        <w:pStyle w:val="BodyText"/>
        <w:numPr>
          <w:ilvl w:val="0"/>
          <w:numId w:val="11"/>
        </w:numPr>
        <w:tabs>
          <w:tab w:val="num" w:pos="1211"/>
        </w:tabs>
        <w:overflowPunct/>
        <w:autoSpaceDE/>
        <w:adjustRightInd/>
        <w:ind w:left="142" w:hanging="142"/>
        <w:jc w:val="lowKashida"/>
        <w:textAlignment w:val="auto"/>
        <w:rPr>
          <w:rFonts w:cs="Times New Roman"/>
        </w:rPr>
      </w:pPr>
      <w:r w:rsidRPr="00CF1F4A">
        <w:rPr>
          <w:rFonts w:cs="Times New Roman"/>
        </w:rPr>
        <w:t xml:space="preserve">The quantity of annual available water in </w:t>
      </w:r>
      <w:r w:rsidRPr="00CF1F4A">
        <w:rPr>
          <w:rFonts w:cs="Times New Roman"/>
          <w:rtl/>
        </w:rPr>
        <w:t>2015</w:t>
      </w:r>
      <w:r w:rsidRPr="00CF1F4A">
        <w:rPr>
          <w:rFonts w:cs="Times New Roman"/>
        </w:rPr>
        <w:t xml:space="preserve"> was </w:t>
      </w:r>
      <w:r w:rsidRPr="00CF1F4A">
        <w:rPr>
          <w:rFonts w:cs="Times New Roman"/>
          <w:rtl/>
        </w:rPr>
        <w:t>365.3</w:t>
      </w:r>
      <w:r w:rsidRPr="00CF1F4A">
        <w:rPr>
          <w:rFonts w:cs="Times New Roman"/>
        </w:rPr>
        <w:t xml:space="preserve"> MCM, of which </w:t>
      </w:r>
      <w:r w:rsidRPr="00CF1F4A">
        <w:rPr>
          <w:rFonts w:cs="Times New Roman"/>
          <w:rtl/>
        </w:rPr>
        <w:t>250.5</w:t>
      </w:r>
      <w:r w:rsidRPr="00CF1F4A">
        <w:rPr>
          <w:rFonts w:cs="Times New Roman"/>
        </w:rPr>
        <w:t xml:space="preserve"> MCM was pumped from ground water wells, </w:t>
      </w:r>
      <w:r w:rsidRPr="00CF1F4A">
        <w:rPr>
          <w:rFonts w:cs="Times New Roman"/>
          <w:rtl/>
        </w:rPr>
        <w:t>70.2</w:t>
      </w:r>
      <w:r w:rsidRPr="00CF1F4A">
        <w:rPr>
          <w:rFonts w:cs="Times New Roman"/>
        </w:rPr>
        <w:t xml:space="preserve"> MCM was purchased from the Israeli Mekorot water company</w:t>
      </w:r>
      <w:r w:rsidR="00F57495" w:rsidRPr="00CF1F4A">
        <w:rPr>
          <w:rFonts w:cs="Times New Roman"/>
        </w:rPr>
        <w:t xml:space="preserve">, and </w:t>
      </w:r>
      <w:r w:rsidR="00F57495" w:rsidRPr="00CF1F4A">
        <w:rPr>
          <w:rFonts w:cs="Times New Roman"/>
          <w:rtl/>
        </w:rPr>
        <w:t>40.7</w:t>
      </w:r>
      <w:r w:rsidR="00F57495" w:rsidRPr="00CF1F4A">
        <w:rPr>
          <w:rFonts w:cs="Times New Roman"/>
        </w:rPr>
        <w:t xml:space="preserve"> MCM was discharged from water springs.</w:t>
      </w:r>
    </w:p>
    <w:p w:rsidR="006A1BCD" w:rsidRPr="00CF1F4A" w:rsidRDefault="006A1BCD" w:rsidP="006A1BCD">
      <w:pPr>
        <w:pStyle w:val="Title"/>
        <w:bidi w:val="0"/>
        <w:jc w:val="left"/>
        <w:rPr>
          <w:rFonts w:cs="Traditional Arabic"/>
          <w:sz w:val="10"/>
          <w:szCs w:val="10"/>
        </w:rPr>
      </w:pPr>
    </w:p>
    <w:p w:rsidR="006A1BCD" w:rsidRPr="00CF1F4A" w:rsidRDefault="006A1BCD" w:rsidP="006A1BCD">
      <w:pPr>
        <w:pStyle w:val="BodyText"/>
        <w:numPr>
          <w:ilvl w:val="0"/>
          <w:numId w:val="11"/>
        </w:numPr>
        <w:tabs>
          <w:tab w:val="num" w:pos="1211"/>
        </w:tabs>
        <w:overflowPunct/>
        <w:autoSpaceDE/>
        <w:adjustRightInd/>
        <w:ind w:left="142" w:hanging="142"/>
        <w:jc w:val="lowKashida"/>
        <w:textAlignment w:val="auto"/>
      </w:pPr>
      <w:r w:rsidRPr="00CF1F4A">
        <w:t>The highest amount of annual rainfall in Nablus station was 681.2 (mm) in 2016.</w:t>
      </w:r>
    </w:p>
    <w:p w:rsidR="001B5B74" w:rsidRPr="00CF1F4A" w:rsidRDefault="001B5B74" w:rsidP="001B5B74">
      <w:pPr>
        <w:pStyle w:val="ListParagraph"/>
        <w:bidi w:val="0"/>
        <w:ind w:left="0"/>
        <w:jc w:val="center"/>
        <w:rPr>
          <w:rFonts w:ascii="Arial" w:hAnsi="Arial" w:cs="Arial"/>
          <w:b/>
          <w:bCs/>
          <w:sz w:val="18"/>
          <w:szCs w:val="18"/>
        </w:rPr>
      </w:pPr>
    </w:p>
    <w:p w:rsidR="001B5B74" w:rsidRPr="00CF1F4A" w:rsidRDefault="001B5B74" w:rsidP="001B5B74">
      <w:pPr>
        <w:pStyle w:val="ListParagraph"/>
        <w:bidi w:val="0"/>
        <w:ind w:left="0"/>
        <w:jc w:val="center"/>
        <w:rPr>
          <w:rFonts w:ascii="Arial" w:hAnsi="Arial" w:cs="Arial"/>
          <w:b/>
          <w:bCs/>
          <w:sz w:val="18"/>
          <w:szCs w:val="18"/>
        </w:rPr>
      </w:pPr>
    </w:p>
    <w:p w:rsidR="001B5B74" w:rsidRPr="00CF1F4A" w:rsidRDefault="001B5B74" w:rsidP="001B5B74">
      <w:pPr>
        <w:pStyle w:val="ListParagraph"/>
        <w:bidi w:val="0"/>
        <w:ind w:left="0"/>
        <w:jc w:val="center"/>
        <w:rPr>
          <w:rFonts w:ascii="Arial" w:hAnsi="Arial" w:cs="Arial"/>
          <w:b/>
          <w:bCs/>
          <w:sz w:val="18"/>
          <w:szCs w:val="18"/>
        </w:rPr>
      </w:pPr>
    </w:p>
    <w:p w:rsidR="001B5B74" w:rsidRPr="00CF1F4A" w:rsidRDefault="001B5B74" w:rsidP="001B5B74">
      <w:pPr>
        <w:pStyle w:val="ListParagraph"/>
        <w:bidi w:val="0"/>
        <w:ind w:left="0"/>
        <w:jc w:val="center"/>
        <w:rPr>
          <w:rFonts w:ascii="Arial" w:hAnsi="Arial" w:cs="Arial"/>
          <w:b/>
          <w:bCs/>
          <w:sz w:val="18"/>
          <w:szCs w:val="18"/>
        </w:rPr>
      </w:pPr>
    </w:p>
    <w:p w:rsidR="001B5B74" w:rsidRPr="00CF1F4A" w:rsidRDefault="001B5B74" w:rsidP="001B5B74">
      <w:pPr>
        <w:pStyle w:val="ListParagraph"/>
        <w:bidi w:val="0"/>
        <w:ind w:left="0"/>
        <w:jc w:val="center"/>
        <w:rPr>
          <w:rFonts w:ascii="Arial" w:hAnsi="Arial" w:cs="Arial"/>
          <w:b/>
          <w:bCs/>
          <w:sz w:val="18"/>
          <w:szCs w:val="18"/>
        </w:rPr>
      </w:pPr>
    </w:p>
    <w:p w:rsidR="001B5B74" w:rsidRPr="00CF1F4A" w:rsidRDefault="001B5B74" w:rsidP="001B5B74">
      <w:pPr>
        <w:pStyle w:val="ListParagraph"/>
        <w:bidi w:val="0"/>
        <w:ind w:left="0"/>
        <w:jc w:val="center"/>
        <w:rPr>
          <w:rFonts w:ascii="Arial" w:hAnsi="Arial" w:cs="Arial"/>
          <w:b/>
          <w:bCs/>
          <w:sz w:val="18"/>
          <w:szCs w:val="18"/>
        </w:rPr>
      </w:pPr>
    </w:p>
    <w:p w:rsidR="006A1BCD" w:rsidRPr="00CF1F4A" w:rsidRDefault="006A1BCD" w:rsidP="001B5B74">
      <w:pPr>
        <w:pStyle w:val="ListParagraph"/>
        <w:bidi w:val="0"/>
        <w:ind w:left="0"/>
        <w:jc w:val="center"/>
        <w:rPr>
          <w:rFonts w:cs="Times New Roman"/>
          <w:b/>
          <w:bCs/>
          <w:sz w:val="18"/>
          <w:szCs w:val="18"/>
        </w:rPr>
      </w:pPr>
      <w:r w:rsidRPr="00CF1F4A">
        <w:rPr>
          <w:rFonts w:cs="Times New Roman"/>
          <w:b/>
          <w:bCs/>
          <w:sz w:val="18"/>
          <w:szCs w:val="18"/>
        </w:rPr>
        <w:lastRenderedPageBreak/>
        <w:t xml:space="preserve">Annual Rainfall Quantity(mm) in the West Bank by Station Location, 2016 </w:t>
      </w:r>
    </w:p>
    <w:p w:rsidR="006A1BCD" w:rsidRPr="00CF1F4A" w:rsidRDefault="006A1BCD" w:rsidP="006A1BCD">
      <w:pPr>
        <w:pStyle w:val="BodyText3"/>
        <w:jc w:val="center"/>
        <w:rPr>
          <w:rFonts w:ascii="Arial" w:hAnsi="Arial" w:cs="Arial"/>
          <w:sz w:val="10"/>
          <w:szCs w:val="10"/>
          <w:rtl/>
        </w:rPr>
      </w:pPr>
    </w:p>
    <w:tbl>
      <w:tblPr>
        <w:tblStyle w:val="TableGrid"/>
        <w:tblW w:w="0" w:type="auto"/>
        <w:jc w:val="center"/>
        <w:tblInd w:w="250" w:type="dxa"/>
        <w:tblLook w:val="04A0"/>
      </w:tblPr>
      <w:tblGrid>
        <w:gridCol w:w="6769"/>
      </w:tblGrid>
      <w:tr w:rsidR="006A1BCD" w:rsidRPr="00CF1F4A" w:rsidTr="001B5B74">
        <w:trPr>
          <w:jc w:val="center"/>
        </w:trPr>
        <w:tc>
          <w:tcPr>
            <w:tcW w:w="6769" w:type="dxa"/>
          </w:tcPr>
          <w:p w:rsidR="006A1BCD" w:rsidRPr="00CF1F4A" w:rsidRDefault="006A1BCD" w:rsidP="00A85326">
            <w:pPr>
              <w:pStyle w:val="BodyText3"/>
              <w:jc w:val="center"/>
              <w:rPr>
                <w:rFonts w:asciiTheme="minorBidi" w:hAnsiTheme="minorBidi" w:cstheme="minorBidi"/>
                <w:sz w:val="16"/>
                <w:szCs w:val="14"/>
              </w:rPr>
            </w:pPr>
            <w:r w:rsidRPr="00CF1F4A">
              <w:rPr>
                <w:rFonts w:asciiTheme="minorBidi" w:hAnsiTheme="minorBidi" w:cstheme="minorBidi"/>
                <w:noProof/>
                <w:sz w:val="16"/>
                <w:szCs w:val="14"/>
              </w:rPr>
              <w:drawing>
                <wp:inline distT="0" distB="0" distL="0" distR="0">
                  <wp:extent cx="3733800" cy="1619250"/>
                  <wp:effectExtent l="0" t="0" r="0" b="0"/>
                  <wp:docPr id="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6A1BCD" w:rsidRPr="00CF1F4A" w:rsidRDefault="006A1BCD" w:rsidP="006A1BCD">
      <w:pPr>
        <w:pStyle w:val="BodyText2"/>
        <w:overflowPunct/>
        <w:autoSpaceDE/>
        <w:autoSpaceDN/>
        <w:adjustRightInd/>
        <w:spacing w:after="120"/>
        <w:ind w:left="142"/>
        <w:textAlignment w:val="auto"/>
        <w:rPr>
          <w:sz w:val="6"/>
          <w:szCs w:val="6"/>
        </w:rPr>
      </w:pPr>
    </w:p>
    <w:p w:rsidR="002B7994" w:rsidRPr="00CF1F4A" w:rsidRDefault="00713F54" w:rsidP="0074402F">
      <w:pPr>
        <w:pStyle w:val="BodyText2"/>
        <w:numPr>
          <w:ilvl w:val="0"/>
          <w:numId w:val="3"/>
        </w:numPr>
        <w:tabs>
          <w:tab w:val="num" w:pos="142"/>
        </w:tabs>
        <w:overflowPunct/>
        <w:autoSpaceDE/>
        <w:autoSpaceDN/>
        <w:adjustRightInd/>
        <w:spacing w:after="120"/>
        <w:ind w:left="142" w:hanging="142"/>
        <w:textAlignment w:val="auto"/>
      </w:pPr>
      <w:r w:rsidRPr="00CF1F4A">
        <w:t>Around</w:t>
      </w:r>
      <w:r w:rsidR="008409F9" w:rsidRPr="00CF1F4A">
        <w:t xml:space="preserve"> 9</w:t>
      </w:r>
      <w:r w:rsidR="00365FAA" w:rsidRPr="00CF1F4A">
        <w:t>3</w:t>
      </w:r>
      <w:r w:rsidR="008409F9" w:rsidRPr="00CF1F4A">
        <w:t>.</w:t>
      </w:r>
      <w:r w:rsidR="00365FAA" w:rsidRPr="00CF1F4A">
        <w:t>7</w:t>
      </w:r>
      <w:r w:rsidR="008409F9" w:rsidRPr="00CF1F4A">
        <w:t>% of higher education establishments, 9</w:t>
      </w:r>
      <w:r w:rsidR="00365FAA" w:rsidRPr="00CF1F4A">
        <w:t>5</w:t>
      </w:r>
      <w:r w:rsidR="008409F9" w:rsidRPr="00CF1F4A">
        <w:t>.</w:t>
      </w:r>
      <w:r w:rsidR="00365FAA" w:rsidRPr="00CF1F4A">
        <w:t>9</w:t>
      </w:r>
      <w:r w:rsidR="008409F9" w:rsidRPr="00CF1F4A">
        <w:t xml:space="preserve">% of schools, and </w:t>
      </w:r>
      <w:r w:rsidR="00365FAA" w:rsidRPr="00CF1F4A">
        <w:t>95.2</w:t>
      </w:r>
      <w:r w:rsidR="008409F9" w:rsidRPr="00CF1F4A">
        <w:t xml:space="preserve">% of kindergartens in Palestine are supplied with water from a water network in </w:t>
      </w:r>
      <w:r w:rsidR="00365FAA" w:rsidRPr="00CF1F4A">
        <w:t>2016</w:t>
      </w:r>
      <w:r w:rsidR="008409F9" w:rsidRPr="00CF1F4A">
        <w:t xml:space="preserve">.  </w:t>
      </w:r>
    </w:p>
    <w:p w:rsidR="00713F54" w:rsidRPr="00CF1F4A" w:rsidRDefault="008409F9" w:rsidP="0074402F">
      <w:pPr>
        <w:pStyle w:val="BodyText2"/>
        <w:numPr>
          <w:ilvl w:val="0"/>
          <w:numId w:val="3"/>
        </w:numPr>
        <w:tabs>
          <w:tab w:val="num" w:pos="142"/>
        </w:tabs>
        <w:overflowPunct/>
        <w:autoSpaceDE/>
        <w:autoSpaceDN/>
        <w:adjustRightInd/>
        <w:spacing w:after="120"/>
        <w:ind w:left="142" w:hanging="142"/>
        <w:textAlignment w:val="auto"/>
      </w:pPr>
      <w:r w:rsidRPr="00CF1F4A">
        <w:t>For health facilities</w:t>
      </w:r>
      <w:r w:rsidR="00680CE9" w:rsidRPr="00CF1F4A">
        <w:t>,</w:t>
      </w:r>
      <w:r w:rsidRPr="00CF1F4A">
        <w:t xml:space="preserve"> </w:t>
      </w:r>
      <w:r w:rsidR="00713F54" w:rsidRPr="00CF1F4A">
        <w:t xml:space="preserve">93.0% of </w:t>
      </w:r>
      <w:r w:rsidR="0074402F" w:rsidRPr="00CF1F4A">
        <w:t>them</w:t>
      </w:r>
      <w:r w:rsidR="00713F54" w:rsidRPr="00CF1F4A">
        <w:t xml:space="preserve"> (governmental and non-governmental) in Palestine</w:t>
      </w:r>
      <w:r w:rsidRPr="00CF1F4A">
        <w:t xml:space="preserve"> in 2014</w:t>
      </w:r>
      <w:r w:rsidR="00713F54" w:rsidRPr="00CF1F4A">
        <w:t xml:space="preserve"> are supplied with water from the public water network, 14.9% purchase water tanks, 9.8% of health facilities rely on a rainwater collection well, and 1.4%  are supplied from other sources. </w:t>
      </w:r>
    </w:p>
    <w:p w:rsidR="002B7994" w:rsidRPr="00CF1F4A" w:rsidRDefault="00F24436" w:rsidP="00777DC5">
      <w:pPr>
        <w:pStyle w:val="BodyText2"/>
        <w:numPr>
          <w:ilvl w:val="0"/>
          <w:numId w:val="3"/>
        </w:numPr>
        <w:tabs>
          <w:tab w:val="num" w:pos="142"/>
        </w:tabs>
        <w:overflowPunct/>
        <w:autoSpaceDE/>
        <w:autoSpaceDN/>
        <w:adjustRightInd/>
        <w:spacing w:after="120"/>
        <w:ind w:left="142" w:hanging="142"/>
        <w:textAlignment w:val="auto"/>
      </w:pPr>
      <w:r w:rsidRPr="00CF1F4A">
        <w:t xml:space="preserve">Data for </w:t>
      </w:r>
      <w:r w:rsidR="00777DC5" w:rsidRPr="00CF1F4A">
        <w:t>2016</w:t>
      </w:r>
      <w:r w:rsidRPr="00CF1F4A">
        <w:t xml:space="preserve"> </w:t>
      </w:r>
      <w:r w:rsidR="004C43C7" w:rsidRPr="00CF1F4A">
        <w:t xml:space="preserve">showed that </w:t>
      </w:r>
      <w:r w:rsidR="00777DC5" w:rsidRPr="00CF1F4A">
        <w:t>90.5</w:t>
      </w:r>
      <w:r w:rsidRPr="00CF1F4A">
        <w:t xml:space="preserve">% of higher education establishments dispose of wastewater through the wastewater network and </w:t>
      </w:r>
      <w:r w:rsidR="00777DC5" w:rsidRPr="00CF1F4A">
        <w:t>48.1</w:t>
      </w:r>
      <w:r w:rsidRPr="00CF1F4A">
        <w:t xml:space="preserve">% of schools through the wastewater network. </w:t>
      </w:r>
    </w:p>
    <w:p w:rsidR="001A2CD9" w:rsidRPr="00CF1F4A" w:rsidRDefault="001A2CD9" w:rsidP="00777DC5">
      <w:pPr>
        <w:pStyle w:val="BodyText2"/>
        <w:numPr>
          <w:ilvl w:val="0"/>
          <w:numId w:val="3"/>
        </w:numPr>
        <w:tabs>
          <w:tab w:val="num" w:pos="142"/>
        </w:tabs>
        <w:overflowPunct/>
        <w:autoSpaceDE/>
        <w:autoSpaceDN/>
        <w:adjustRightInd/>
        <w:spacing w:after="120"/>
        <w:ind w:left="142" w:hanging="142"/>
        <w:textAlignment w:val="auto"/>
      </w:pPr>
      <w:r w:rsidRPr="00CF1F4A">
        <w:t xml:space="preserve">Data for </w:t>
      </w:r>
      <w:r w:rsidR="00F24436" w:rsidRPr="00CF1F4A">
        <w:t xml:space="preserve">health facilities in </w:t>
      </w:r>
      <w:r w:rsidRPr="00CF1F4A">
        <w:t xml:space="preserve">2014 showed that 45.3% of health facilities (governmental and non-governmental) in Palestine dispose of wastewater </w:t>
      </w:r>
      <w:r w:rsidR="0000650F" w:rsidRPr="00CF1F4A">
        <w:t>through</w:t>
      </w:r>
      <w:r w:rsidRPr="00CF1F4A">
        <w:t xml:space="preserve"> the wastewater network. </w:t>
      </w:r>
    </w:p>
    <w:p w:rsidR="001A2CD9" w:rsidRPr="00CF1F4A" w:rsidRDefault="001A2CD9" w:rsidP="0074402F">
      <w:pPr>
        <w:pStyle w:val="BodyText2"/>
        <w:numPr>
          <w:ilvl w:val="0"/>
          <w:numId w:val="3"/>
        </w:numPr>
        <w:tabs>
          <w:tab w:val="num" w:pos="142"/>
        </w:tabs>
        <w:overflowPunct/>
        <w:autoSpaceDE/>
        <w:autoSpaceDN/>
        <w:adjustRightInd/>
        <w:spacing w:after="120"/>
        <w:ind w:left="142" w:hanging="142"/>
        <w:textAlignment w:val="auto"/>
      </w:pPr>
      <w:r w:rsidRPr="00CF1F4A">
        <w:t xml:space="preserve"> </w:t>
      </w:r>
      <w:r w:rsidR="008409F9" w:rsidRPr="00CF1F4A">
        <w:rPr>
          <w:rFonts w:cs="Traditional Arabic"/>
        </w:rPr>
        <w:t xml:space="preserve">Data </w:t>
      </w:r>
      <w:r w:rsidR="008409F9" w:rsidRPr="00CF1F4A">
        <w:t xml:space="preserve">for </w:t>
      </w:r>
      <w:r w:rsidR="00777DC5" w:rsidRPr="00CF1F4A">
        <w:t>2015</w:t>
      </w:r>
      <w:r w:rsidR="008409F9" w:rsidRPr="00CF1F4A">
        <w:t xml:space="preserve"> </w:t>
      </w:r>
      <w:r w:rsidR="008409F9" w:rsidRPr="00CF1F4A">
        <w:rPr>
          <w:rFonts w:cs="Traditional Arabic"/>
        </w:rPr>
        <w:t>showed that local authorities transferred the solid waste from 92.</w:t>
      </w:r>
      <w:r w:rsidR="00777DC5" w:rsidRPr="00CF1F4A">
        <w:rPr>
          <w:rFonts w:cs="Traditional Arabic"/>
        </w:rPr>
        <w:t>1</w:t>
      </w:r>
      <w:r w:rsidR="008409F9" w:rsidRPr="00CF1F4A">
        <w:rPr>
          <w:rFonts w:cs="Traditional Arabic"/>
        </w:rPr>
        <w:t xml:space="preserve">% of higher education establishments, </w:t>
      </w:r>
      <w:r w:rsidR="00777DC5" w:rsidRPr="00CF1F4A">
        <w:rPr>
          <w:rFonts w:cs="Traditional Arabic"/>
        </w:rPr>
        <w:t>86.3</w:t>
      </w:r>
      <w:r w:rsidR="008409F9" w:rsidRPr="00CF1F4A">
        <w:rPr>
          <w:rFonts w:cs="Traditional Arabic"/>
        </w:rPr>
        <w:t xml:space="preserve">% of schools and </w:t>
      </w:r>
      <w:r w:rsidR="00777DC5" w:rsidRPr="00CF1F4A">
        <w:rPr>
          <w:rFonts w:cs="Traditional Arabic"/>
        </w:rPr>
        <w:t>83.7</w:t>
      </w:r>
      <w:r w:rsidR="008409F9" w:rsidRPr="00CF1F4A">
        <w:rPr>
          <w:rFonts w:cs="Traditional Arabic"/>
        </w:rPr>
        <w:t>% of kindergartens in Palestine to the final disposal site.</w:t>
      </w:r>
      <w:r w:rsidR="00F24436" w:rsidRPr="00CF1F4A">
        <w:t xml:space="preserve">  </w:t>
      </w:r>
      <w:r w:rsidRPr="00CF1F4A">
        <w:t xml:space="preserve">Data for 2014 revealed that </w:t>
      </w:r>
      <w:r w:rsidR="00713F54" w:rsidRPr="00CF1F4A">
        <w:t>73.9</w:t>
      </w:r>
      <w:r w:rsidRPr="00CF1F4A">
        <w:t xml:space="preserve">% of health facilities (governmental and non-governmental) dispose of </w:t>
      </w:r>
      <w:r w:rsidR="00680CE9" w:rsidRPr="00CF1F4A">
        <w:t xml:space="preserve">solid </w:t>
      </w:r>
      <w:r w:rsidRPr="00CF1F4A">
        <w:t xml:space="preserve">waste </w:t>
      </w:r>
      <w:r w:rsidR="00713F54" w:rsidRPr="00CF1F4A">
        <w:t>by</w:t>
      </w:r>
      <w:r w:rsidRPr="00CF1F4A">
        <w:t xml:space="preserve"> local authority.</w:t>
      </w:r>
    </w:p>
    <w:p w:rsidR="003307CD" w:rsidRPr="00CF1F4A" w:rsidRDefault="003307CD" w:rsidP="003307CD">
      <w:pPr>
        <w:pStyle w:val="BodyText2"/>
        <w:numPr>
          <w:ilvl w:val="0"/>
          <w:numId w:val="3"/>
        </w:numPr>
        <w:tabs>
          <w:tab w:val="num" w:pos="142"/>
        </w:tabs>
        <w:overflowPunct/>
        <w:autoSpaceDE/>
        <w:autoSpaceDN/>
        <w:adjustRightInd/>
        <w:spacing w:after="120"/>
        <w:ind w:left="142" w:hanging="142"/>
        <w:textAlignment w:val="auto"/>
      </w:pPr>
      <w:r w:rsidRPr="00CF1F4A">
        <w:t>Data for 2015 showed that 93.3% of households in Palestine live in housing units connected to the public water network: 9</w:t>
      </w:r>
      <w:r w:rsidRPr="00CF1F4A">
        <w:rPr>
          <w:rFonts w:hint="cs"/>
          <w:rtl/>
        </w:rPr>
        <w:t>3</w:t>
      </w:r>
      <w:r w:rsidRPr="00CF1F4A">
        <w:t>.</w:t>
      </w:r>
      <w:r w:rsidRPr="00CF1F4A">
        <w:rPr>
          <w:rFonts w:hint="cs"/>
          <w:rtl/>
        </w:rPr>
        <w:t>4</w:t>
      </w:r>
      <w:r w:rsidRPr="00CF1F4A">
        <w:t>% of households in the West Bank and 9</w:t>
      </w:r>
      <w:r w:rsidRPr="00CF1F4A">
        <w:rPr>
          <w:rFonts w:hint="cs"/>
          <w:rtl/>
        </w:rPr>
        <w:t>3</w:t>
      </w:r>
      <w:r w:rsidRPr="00CF1F4A">
        <w:t>.</w:t>
      </w:r>
      <w:r w:rsidRPr="00CF1F4A">
        <w:rPr>
          <w:rFonts w:hint="cs"/>
          <w:rtl/>
        </w:rPr>
        <w:t>0</w:t>
      </w:r>
      <w:r w:rsidRPr="00CF1F4A">
        <w:t xml:space="preserve">% of households in Gaza Strip. </w:t>
      </w:r>
    </w:p>
    <w:p w:rsidR="003307CD" w:rsidRPr="00CF1F4A" w:rsidRDefault="003307CD" w:rsidP="003307CD">
      <w:pPr>
        <w:pStyle w:val="BodyText2"/>
        <w:numPr>
          <w:ilvl w:val="0"/>
          <w:numId w:val="3"/>
        </w:numPr>
        <w:tabs>
          <w:tab w:val="num" w:pos="142"/>
        </w:tabs>
        <w:overflowPunct/>
        <w:autoSpaceDE/>
        <w:autoSpaceDN/>
        <w:adjustRightInd/>
        <w:spacing w:after="120"/>
        <w:ind w:left="142" w:hanging="142"/>
        <w:textAlignment w:val="auto"/>
      </w:pPr>
      <w:r w:rsidRPr="00CF1F4A">
        <w:t>During 2015, data indicated that 53.9% of households in Palestine used wastewater networks to dispose of their wastewater, while 31.8% of households used porous cesspits.</w:t>
      </w:r>
    </w:p>
    <w:p w:rsidR="003307CD" w:rsidRPr="00CF1F4A" w:rsidRDefault="003307CD" w:rsidP="003307CD">
      <w:pPr>
        <w:pStyle w:val="BodyText2"/>
        <w:numPr>
          <w:ilvl w:val="0"/>
          <w:numId w:val="3"/>
        </w:numPr>
        <w:tabs>
          <w:tab w:val="num" w:pos="142"/>
        </w:tabs>
        <w:overflowPunct/>
        <w:autoSpaceDE/>
        <w:autoSpaceDN/>
        <w:adjustRightInd/>
        <w:spacing w:after="120"/>
        <w:ind w:left="142" w:hanging="142"/>
        <w:textAlignment w:val="auto"/>
      </w:pPr>
      <w:r w:rsidRPr="00CF1F4A">
        <w:t xml:space="preserve"> In 2015, local authorities collected solid waste from 78.8% of households in Palestine (77.5% in the West Bank and 81.3% in Gaza Strip) and UNRWA collected solid waste from 9.4% of households.</w:t>
      </w:r>
    </w:p>
    <w:p w:rsidR="009C673D" w:rsidRPr="00CF1F4A" w:rsidRDefault="009C673D" w:rsidP="005846DD">
      <w:pPr>
        <w:pStyle w:val="ListParagraph"/>
        <w:bidi w:val="0"/>
        <w:ind w:left="0"/>
        <w:jc w:val="lowKashida"/>
        <w:rPr>
          <w:rFonts w:cs="Times New Roman"/>
          <w:i/>
          <w:iCs/>
          <w:sz w:val="20"/>
          <w:u w:val="single"/>
        </w:rPr>
      </w:pPr>
      <w:r w:rsidRPr="00CF1F4A">
        <w:rPr>
          <w:rFonts w:cs="Times New Roman"/>
          <w:i/>
          <w:iCs/>
          <w:sz w:val="20"/>
          <w:u w:val="single"/>
        </w:rPr>
        <w:t>For more detail</w:t>
      </w:r>
      <w:r w:rsidR="00654A09" w:rsidRPr="00CF1F4A">
        <w:rPr>
          <w:rFonts w:cs="Times New Roman"/>
          <w:i/>
          <w:iCs/>
          <w:sz w:val="20"/>
          <w:u w:val="single"/>
        </w:rPr>
        <w:t>s</w:t>
      </w:r>
      <w:r w:rsidRPr="00CF1F4A">
        <w:rPr>
          <w:rFonts w:cs="Times New Roman"/>
          <w:i/>
          <w:iCs/>
          <w:sz w:val="20"/>
          <w:u w:val="single"/>
        </w:rPr>
        <w:t xml:space="preserve"> about</w:t>
      </w:r>
      <w:r w:rsidR="000D29C8" w:rsidRPr="00CF1F4A">
        <w:rPr>
          <w:rFonts w:cs="Times New Roman"/>
          <w:i/>
          <w:iCs/>
          <w:sz w:val="20"/>
          <w:u w:val="single"/>
        </w:rPr>
        <w:t xml:space="preserve"> the</w:t>
      </w:r>
      <w:r w:rsidRPr="00CF1F4A">
        <w:rPr>
          <w:rFonts w:cs="Times New Roman"/>
          <w:i/>
          <w:iCs/>
          <w:sz w:val="20"/>
          <w:u w:val="single"/>
        </w:rPr>
        <w:t xml:space="preserve"> </w:t>
      </w:r>
      <w:r w:rsidR="000D29C8" w:rsidRPr="00CF1F4A">
        <w:rPr>
          <w:rFonts w:cs="Times New Roman"/>
          <w:i/>
          <w:iCs/>
          <w:sz w:val="20"/>
          <w:u w:val="single"/>
        </w:rPr>
        <w:t>e</w:t>
      </w:r>
      <w:r w:rsidRPr="00CF1F4A">
        <w:rPr>
          <w:rFonts w:cs="Times New Roman"/>
          <w:i/>
          <w:iCs/>
          <w:sz w:val="20"/>
          <w:u w:val="single"/>
        </w:rPr>
        <w:t>nvironment and</w:t>
      </w:r>
      <w:r w:rsidR="000D29C8" w:rsidRPr="00CF1F4A">
        <w:rPr>
          <w:rFonts w:cs="Times New Roman"/>
          <w:i/>
          <w:iCs/>
          <w:sz w:val="20"/>
          <w:u w:val="single"/>
        </w:rPr>
        <w:t xml:space="preserve"> n</w:t>
      </w:r>
      <w:r w:rsidRPr="00CF1F4A">
        <w:rPr>
          <w:rFonts w:cs="Times New Roman"/>
          <w:i/>
          <w:iCs/>
          <w:sz w:val="20"/>
          <w:u w:val="single"/>
        </w:rPr>
        <w:t xml:space="preserve">atural </w:t>
      </w:r>
      <w:r w:rsidR="000D29C8" w:rsidRPr="00CF1F4A">
        <w:rPr>
          <w:rFonts w:cs="Times New Roman"/>
          <w:i/>
          <w:iCs/>
          <w:sz w:val="20"/>
          <w:u w:val="single"/>
        </w:rPr>
        <w:t>r</w:t>
      </w:r>
      <w:r w:rsidRPr="00CF1F4A">
        <w:rPr>
          <w:rFonts w:cs="Times New Roman"/>
          <w:i/>
          <w:iCs/>
          <w:sz w:val="20"/>
          <w:u w:val="single"/>
        </w:rPr>
        <w:t>esources</w:t>
      </w:r>
      <w:r w:rsidR="000D29C8" w:rsidRPr="00CF1F4A">
        <w:rPr>
          <w:rFonts w:cs="Times New Roman"/>
          <w:i/>
          <w:iCs/>
          <w:sz w:val="20"/>
          <w:u w:val="single"/>
        </w:rPr>
        <w:t>,</w:t>
      </w:r>
      <w:r w:rsidRPr="00CF1F4A">
        <w:rPr>
          <w:rFonts w:cs="Times New Roman"/>
          <w:i/>
          <w:iCs/>
          <w:sz w:val="20"/>
          <w:u w:val="single"/>
        </w:rPr>
        <w:t xml:space="preserve"> </w:t>
      </w:r>
      <w:r w:rsidR="0037009A" w:rsidRPr="00CF1F4A">
        <w:rPr>
          <w:rFonts w:cs="Times New Roman"/>
          <w:i/>
          <w:iCs/>
          <w:sz w:val="20"/>
          <w:u w:val="single"/>
        </w:rPr>
        <w:t>see</w:t>
      </w:r>
      <w:r w:rsidR="000D29C8" w:rsidRPr="00CF1F4A">
        <w:rPr>
          <w:rFonts w:cs="Times New Roman"/>
          <w:i/>
          <w:iCs/>
          <w:sz w:val="20"/>
          <w:u w:val="single"/>
        </w:rPr>
        <w:t xml:space="preserve"> the</w:t>
      </w:r>
      <w:r w:rsidR="0037009A" w:rsidRPr="00CF1F4A">
        <w:rPr>
          <w:rFonts w:cs="Times New Roman"/>
          <w:i/>
          <w:iCs/>
          <w:sz w:val="20"/>
          <w:u w:val="single"/>
        </w:rPr>
        <w:t xml:space="preserve"> tables </w:t>
      </w:r>
      <w:r w:rsidRPr="00CF1F4A">
        <w:rPr>
          <w:rFonts w:cs="Times New Roman"/>
          <w:i/>
          <w:iCs/>
          <w:sz w:val="20"/>
          <w:u w:val="single"/>
        </w:rPr>
        <w:t>in chapter 1.</w:t>
      </w:r>
      <w:r w:rsidR="005846DD" w:rsidRPr="00CF1F4A">
        <w:rPr>
          <w:rFonts w:cs="Times New Roman"/>
          <w:i/>
          <w:iCs/>
          <w:sz w:val="20"/>
          <w:u w:val="single"/>
        </w:rPr>
        <w:t>11</w:t>
      </w:r>
      <w:r w:rsidRPr="00CF1F4A">
        <w:rPr>
          <w:rFonts w:cs="Times New Roman"/>
          <w:i/>
          <w:iCs/>
          <w:sz w:val="20"/>
          <w:u w:val="single"/>
        </w:rPr>
        <w:t xml:space="preserve"> </w:t>
      </w:r>
      <w:r w:rsidR="000D29C8" w:rsidRPr="00CF1F4A">
        <w:rPr>
          <w:rFonts w:cs="Times New Roman"/>
          <w:i/>
          <w:iCs/>
          <w:sz w:val="20"/>
          <w:u w:val="single"/>
        </w:rPr>
        <w:t xml:space="preserve">of the </w:t>
      </w:r>
      <w:r w:rsidR="00654A09" w:rsidRPr="00CF1F4A">
        <w:rPr>
          <w:rFonts w:cs="Times New Roman"/>
          <w:i/>
          <w:iCs/>
          <w:sz w:val="20"/>
          <w:u w:val="single"/>
        </w:rPr>
        <w:t>Arabic</w:t>
      </w:r>
      <w:r w:rsidRPr="00CF1F4A">
        <w:rPr>
          <w:rFonts w:cs="Times New Roman"/>
          <w:i/>
          <w:iCs/>
          <w:sz w:val="20"/>
          <w:u w:val="single"/>
        </w:rPr>
        <w:t xml:space="preserve"> </w:t>
      </w:r>
      <w:r w:rsidR="000D29C8" w:rsidRPr="00CF1F4A">
        <w:rPr>
          <w:rFonts w:cs="Times New Roman"/>
          <w:i/>
          <w:iCs/>
          <w:sz w:val="20"/>
          <w:u w:val="single"/>
        </w:rPr>
        <w:t xml:space="preserve">section, </w:t>
      </w:r>
      <w:r w:rsidRPr="00CF1F4A">
        <w:rPr>
          <w:rFonts w:cs="Times New Roman"/>
          <w:i/>
          <w:iCs/>
          <w:sz w:val="20"/>
          <w:u w:val="single"/>
        </w:rPr>
        <w:t>page</w:t>
      </w:r>
      <w:r w:rsidR="000D29C8" w:rsidRPr="00CF1F4A">
        <w:rPr>
          <w:rFonts w:cs="Times New Roman"/>
          <w:i/>
          <w:iCs/>
          <w:sz w:val="20"/>
          <w:u w:val="single"/>
        </w:rPr>
        <w:t>s</w:t>
      </w:r>
      <w:r w:rsidR="006A480D" w:rsidRPr="00CF1F4A">
        <w:rPr>
          <w:rFonts w:cs="Times New Roman"/>
          <w:i/>
          <w:iCs/>
          <w:sz w:val="20"/>
          <w:u w:val="single"/>
        </w:rPr>
        <w:t xml:space="preserve"> </w:t>
      </w:r>
      <w:r w:rsidR="005846DD" w:rsidRPr="00CF1F4A">
        <w:rPr>
          <w:rFonts w:cs="Times New Roman"/>
          <w:i/>
          <w:iCs/>
          <w:sz w:val="20"/>
          <w:u w:val="single"/>
        </w:rPr>
        <w:t>137</w:t>
      </w:r>
      <w:r w:rsidR="003E7B2E" w:rsidRPr="00CF1F4A">
        <w:rPr>
          <w:rFonts w:cs="Times New Roman"/>
          <w:i/>
          <w:iCs/>
          <w:sz w:val="20"/>
          <w:u w:val="single"/>
        </w:rPr>
        <w:t>-</w:t>
      </w:r>
      <w:r w:rsidR="005846DD" w:rsidRPr="00CF1F4A">
        <w:rPr>
          <w:rFonts w:cs="Times New Roman"/>
          <w:i/>
          <w:iCs/>
          <w:sz w:val="20"/>
          <w:u w:val="single"/>
        </w:rPr>
        <w:t>162</w:t>
      </w:r>
      <w:r w:rsidR="000D29C8" w:rsidRPr="00CF1F4A">
        <w:rPr>
          <w:rFonts w:cs="Times New Roman"/>
          <w:i/>
          <w:iCs/>
          <w:sz w:val="20"/>
          <w:u w:val="single"/>
        </w:rPr>
        <w:t>.</w:t>
      </w:r>
    </w:p>
    <w:p w:rsidR="006D7EB6" w:rsidRPr="00CF1F4A" w:rsidRDefault="006D7EB6" w:rsidP="006D7EB6">
      <w:pPr>
        <w:pStyle w:val="Title"/>
        <w:tabs>
          <w:tab w:val="left" w:pos="851"/>
        </w:tabs>
        <w:bidi w:val="0"/>
        <w:jc w:val="left"/>
        <w:rPr>
          <w:rFonts w:cs="Times New Roman"/>
          <w:b w:val="0"/>
          <w:bCs w:val="0"/>
          <w:noProof w:val="0"/>
          <w:sz w:val="12"/>
          <w:szCs w:val="12"/>
        </w:rPr>
      </w:pPr>
    </w:p>
    <w:p w:rsidR="001F2744" w:rsidRPr="00CF1F4A" w:rsidRDefault="001F2744" w:rsidP="00331B49">
      <w:pPr>
        <w:pStyle w:val="Title"/>
        <w:numPr>
          <w:ilvl w:val="0"/>
          <w:numId w:val="2"/>
        </w:numPr>
        <w:bidi w:val="0"/>
        <w:ind w:left="98" w:hanging="308"/>
        <w:jc w:val="left"/>
        <w:rPr>
          <w:rFonts w:cs="Traditional Arabic"/>
          <w:sz w:val="20"/>
          <w:szCs w:val="20"/>
        </w:rPr>
      </w:pPr>
      <w:r w:rsidRPr="00CF1F4A">
        <w:rPr>
          <w:rFonts w:cs="Traditional Arabic"/>
          <w:sz w:val="20"/>
          <w:szCs w:val="20"/>
        </w:rPr>
        <w:t xml:space="preserve">Security and Justice                               </w:t>
      </w:r>
    </w:p>
    <w:p w:rsidR="00A22408" w:rsidRPr="00CF1F4A" w:rsidRDefault="00A22408" w:rsidP="00B65954">
      <w:pPr>
        <w:pStyle w:val="BodyText"/>
        <w:numPr>
          <w:ilvl w:val="0"/>
          <w:numId w:val="3"/>
        </w:numPr>
        <w:overflowPunct/>
        <w:autoSpaceDE/>
        <w:autoSpaceDN/>
        <w:adjustRightInd/>
        <w:ind w:left="142" w:hanging="142"/>
        <w:jc w:val="lowKashida"/>
        <w:textAlignment w:val="auto"/>
      </w:pPr>
      <w:r w:rsidRPr="00CF1F4A">
        <w:t xml:space="preserve">Criminal offenses reported: There were </w:t>
      </w:r>
      <w:r w:rsidR="00B65954" w:rsidRPr="00CF1F4A">
        <w:t>27</w:t>
      </w:r>
      <w:r w:rsidR="003F2855" w:rsidRPr="00CF1F4A">
        <w:t>,</w:t>
      </w:r>
      <w:r w:rsidR="00B65954" w:rsidRPr="00CF1F4A">
        <w:t>522</w:t>
      </w:r>
      <w:r w:rsidRPr="00CF1F4A">
        <w:t xml:space="preserve"> criminal offenses reported in </w:t>
      </w:r>
      <w:r w:rsidR="003F2855" w:rsidRPr="00CF1F4A">
        <w:t>201</w:t>
      </w:r>
      <w:r w:rsidR="00B65954" w:rsidRPr="00CF1F4A">
        <w:t>5</w:t>
      </w:r>
      <w:r w:rsidRPr="00CF1F4A">
        <w:t xml:space="preserve"> in the West Bank.</w:t>
      </w:r>
    </w:p>
    <w:p w:rsidR="009A728A" w:rsidRPr="00CF1F4A" w:rsidRDefault="009A728A" w:rsidP="009A728A">
      <w:pPr>
        <w:pStyle w:val="BodyText"/>
        <w:overflowPunct/>
        <w:autoSpaceDE/>
        <w:autoSpaceDN/>
        <w:adjustRightInd/>
        <w:jc w:val="lowKashida"/>
        <w:textAlignment w:val="auto"/>
        <w:rPr>
          <w:sz w:val="10"/>
          <w:szCs w:val="10"/>
        </w:rPr>
      </w:pPr>
    </w:p>
    <w:p w:rsidR="00A22408" w:rsidRPr="00CF1F4A" w:rsidRDefault="00A22408" w:rsidP="00310703">
      <w:pPr>
        <w:pStyle w:val="BodyText"/>
        <w:numPr>
          <w:ilvl w:val="0"/>
          <w:numId w:val="3"/>
        </w:numPr>
        <w:overflowPunct/>
        <w:autoSpaceDE/>
        <w:autoSpaceDN/>
        <w:adjustRightInd/>
        <w:ind w:left="142" w:hanging="142"/>
        <w:jc w:val="lowKashida"/>
        <w:textAlignment w:val="auto"/>
        <w:rPr>
          <w:rFonts w:cs="Times New Roman"/>
        </w:rPr>
      </w:pPr>
      <w:r w:rsidRPr="00CF1F4A">
        <w:t xml:space="preserve">The criminal offenses reported in West Bank governorates in </w:t>
      </w:r>
      <w:r w:rsidR="003F2855" w:rsidRPr="00CF1F4A">
        <w:t>201</w:t>
      </w:r>
      <w:r w:rsidR="00B65954" w:rsidRPr="00CF1F4A">
        <w:t>5</w:t>
      </w:r>
      <w:r w:rsidRPr="00CF1F4A">
        <w:t xml:space="preserve"> </w:t>
      </w:r>
      <w:r w:rsidR="00045A0C" w:rsidRPr="00CF1F4A">
        <w:t>included</w:t>
      </w:r>
      <w:r w:rsidRPr="00CF1F4A">
        <w:t xml:space="preserve"> assault (</w:t>
      </w:r>
      <w:r w:rsidR="00B65954" w:rsidRPr="00CF1F4A">
        <w:t>27</w:t>
      </w:r>
      <w:r w:rsidR="003F2855" w:rsidRPr="00CF1F4A">
        <w:t>.</w:t>
      </w:r>
      <w:r w:rsidR="00B65954" w:rsidRPr="00CF1F4A">
        <w:t>9</w:t>
      </w:r>
      <w:r w:rsidRPr="00CF1F4A">
        <w:t xml:space="preserve">%), theft </w:t>
      </w:r>
      <w:r w:rsidR="00C2524C" w:rsidRPr="00CF1F4A">
        <w:t>(</w:t>
      </w:r>
      <w:r w:rsidR="00B65954" w:rsidRPr="00CF1F4A">
        <w:t>14</w:t>
      </w:r>
      <w:r w:rsidR="003F2855" w:rsidRPr="00CF1F4A">
        <w:t>.</w:t>
      </w:r>
      <w:r w:rsidR="00B65954" w:rsidRPr="00CF1F4A">
        <w:t>7</w:t>
      </w:r>
      <w:r w:rsidRPr="00CF1F4A">
        <w:t xml:space="preserve">%), </w:t>
      </w:r>
      <w:r w:rsidR="006F0783" w:rsidRPr="00CF1F4A">
        <w:t>harming</w:t>
      </w:r>
      <w:r w:rsidR="00011D0F" w:rsidRPr="00CF1F4A">
        <w:t xml:space="preserve"> </w:t>
      </w:r>
      <w:r w:rsidR="006F0783" w:rsidRPr="00CF1F4A">
        <w:t xml:space="preserve">and immoral </w:t>
      </w:r>
      <w:r w:rsidRPr="00CF1F4A">
        <w:t>offenses (</w:t>
      </w:r>
      <w:r w:rsidR="00B65954" w:rsidRPr="00CF1F4A">
        <w:t>23</w:t>
      </w:r>
      <w:r w:rsidR="003F2855" w:rsidRPr="00CF1F4A">
        <w:t>.</w:t>
      </w:r>
      <w:r w:rsidR="00B65954" w:rsidRPr="00CF1F4A">
        <w:t>0</w:t>
      </w:r>
      <w:r w:rsidRPr="00CF1F4A">
        <w:t xml:space="preserve">%), </w:t>
      </w:r>
      <w:r w:rsidR="000B1364" w:rsidRPr="00CF1F4A">
        <w:t xml:space="preserve">Forgery and Fraud </w:t>
      </w:r>
      <w:r w:rsidRPr="00CF1F4A">
        <w:rPr>
          <w:rFonts w:cs="Times New Roman"/>
        </w:rPr>
        <w:lastRenderedPageBreak/>
        <w:t>(</w:t>
      </w:r>
      <w:r w:rsidRPr="00CF1F4A">
        <w:rPr>
          <w:rFonts w:cs="Times New Roman"/>
          <w:rtl/>
        </w:rPr>
        <w:t>2.</w:t>
      </w:r>
      <w:r w:rsidR="00B65954" w:rsidRPr="00CF1F4A">
        <w:rPr>
          <w:rFonts w:cs="Times New Roman"/>
          <w:rtl/>
        </w:rPr>
        <w:t>3</w:t>
      </w:r>
      <w:r w:rsidRPr="00CF1F4A">
        <w:rPr>
          <w:rFonts w:cs="Times New Roman"/>
        </w:rPr>
        <w:t>%), and the remainder were kidnapping, attempted kidnapping, threats, drugs and murder.</w:t>
      </w:r>
    </w:p>
    <w:p w:rsidR="00D141E4" w:rsidRPr="00CF1F4A" w:rsidRDefault="00D141E4" w:rsidP="009A728A">
      <w:pPr>
        <w:jc w:val="center"/>
        <w:rPr>
          <w:b/>
          <w:bCs/>
          <w:sz w:val="10"/>
          <w:szCs w:val="10"/>
        </w:rPr>
      </w:pPr>
    </w:p>
    <w:p w:rsidR="00423529" w:rsidRPr="00CF1F4A" w:rsidRDefault="00423529" w:rsidP="00B65954">
      <w:pPr>
        <w:jc w:val="center"/>
        <w:rPr>
          <w:b/>
          <w:bCs/>
          <w:sz w:val="18"/>
          <w:szCs w:val="18"/>
        </w:rPr>
      </w:pPr>
      <w:r w:rsidRPr="00CF1F4A">
        <w:rPr>
          <w:b/>
          <w:bCs/>
          <w:sz w:val="18"/>
          <w:szCs w:val="18"/>
        </w:rPr>
        <w:t>Number of Reported Criminal Offenses in the West Bank</w:t>
      </w:r>
      <w:r w:rsidR="00144BA5" w:rsidRPr="00CF1F4A">
        <w:rPr>
          <w:b/>
          <w:bCs/>
          <w:sz w:val="18"/>
          <w:szCs w:val="18"/>
        </w:rPr>
        <w:t>*</w:t>
      </w:r>
      <w:r w:rsidRPr="00CF1F4A">
        <w:rPr>
          <w:b/>
          <w:bCs/>
          <w:sz w:val="18"/>
          <w:szCs w:val="18"/>
        </w:rPr>
        <w:t xml:space="preserve"> by Governorate, </w:t>
      </w:r>
      <w:r w:rsidR="007D3CD3" w:rsidRPr="00CF1F4A">
        <w:rPr>
          <w:b/>
          <w:bCs/>
          <w:sz w:val="18"/>
          <w:szCs w:val="18"/>
          <w:rtl/>
        </w:rPr>
        <w:t>201</w:t>
      </w:r>
      <w:r w:rsidR="00B65954" w:rsidRPr="00CF1F4A">
        <w:rPr>
          <w:b/>
          <w:bCs/>
          <w:sz w:val="18"/>
          <w:szCs w:val="18"/>
        </w:rPr>
        <w:t>5</w:t>
      </w:r>
    </w:p>
    <w:p w:rsidR="009A728A" w:rsidRPr="00CF1F4A" w:rsidRDefault="009A728A" w:rsidP="009A728A">
      <w:pPr>
        <w:jc w:val="center"/>
        <w:rPr>
          <w:b/>
          <w:bCs/>
          <w:sz w:val="10"/>
          <w:szCs w:val="10"/>
          <w:rtl/>
        </w:rPr>
      </w:pPr>
    </w:p>
    <w:p w:rsidR="00C24231" w:rsidRPr="00CF1F4A" w:rsidRDefault="00B65954" w:rsidP="00C24231">
      <w:pPr>
        <w:pStyle w:val="BodyText2"/>
        <w:jc w:val="center"/>
        <w:rPr>
          <w:sz w:val="16"/>
          <w:szCs w:val="16"/>
          <w:rtl/>
        </w:rPr>
      </w:pPr>
      <w:r w:rsidRPr="00CF1F4A">
        <w:rPr>
          <w:rFonts w:ascii="Simplified Arabic" w:hAnsi="Simplified Arabic"/>
          <w:b/>
          <w:bCs/>
          <w:noProof/>
          <w:sz w:val="18"/>
          <w:szCs w:val="18"/>
          <w:bdr w:val="single" w:sz="4" w:space="0" w:color="auto"/>
        </w:rPr>
        <w:drawing>
          <wp:inline distT="0" distB="0" distL="0" distR="0">
            <wp:extent cx="4318000" cy="2114550"/>
            <wp:effectExtent l="0" t="0" r="0" b="0"/>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9314B" w:rsidRPr="00CF1F4A" w:rsidRDefault="0059314B" w:rsidP="00796A8D">
      <w:pPr>
        <w:tabs>
          <w:tab w:val="right" w:pos="70"/>
        </w:tabs>
        <w:ind w:left="98" w:right="112" w:firstLine="14"/>
        <w:jc w:val="lowKashida"/>
        <w:rPr>
          <w:sz w:val="14"/>
          <w:szCs w:val="14"/>
        </w:rPr>
      </w:pPr>
      <w:r w:rsidRPr="00CF1F4A">
        <w:rPr>
          <w:sz w:val="14"/>
          <w:szCs w:val="14"/>
        </w:rPr>
        <w:t>*Data doesn’t include those part</w:t>
      </w:r>
      <w:r w:rsidR="0045773F" w:rsidRPr="00CF1F4A">
        <w:rPr>
          <w:sz w:val="14"/>
          <w:szCs w:val="14"/>
        </w:rPr>
        <w:t>s</w:t>
      </w:r>
      <w:r w:rsidRPr="00CF1F4A">
        <w:rPr>
          <w:sz w:val="14"/>
          <w:szCs w:val="14"/>
        </w:rPr>
        <w:t xml:space="preserve"> of Jerusalem which </w:t>
      </w:r>
      <w:r w:rsidR="00796A8D" w:rsidRPr="00CF1F4A">
        <w:rPr>
          <w:sz w:val="14"/>
          <w:szCs w:val="14"/>
        </w:rPr>
        <w:t xml:space="preserve">were </w:t>
      </w:r>
      <w:r w:rsidRPr="00CF1F4A">
        <w:rPr>
          <w:sz w:val="14"/>
          <w:szCs w:val="14"/>
        </w:rPr>
        <w:t>annexed forcefully by Israel following its occupation of the West Bank in 1967.</w:t>
      </w:r>
    </w:p>
    <w:p w:rsidR="00D051F0" w:rsidRPr="00CF1F4A" w:rsidRDefault="006B1236" w:rsidP="00310703">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 xml:space="preserve">Juvenile offenders: There were </w:t>
      </w:r>
      <w:r w:rsidR="00B65954" w:rsidRPr="00CF1F4A">
        <w:rPr>
          <w:rFonts w:cs="Times New Roman"/>
        </w:rPr>
        <w:t>1,082</w:t>
      </w:r>
      <w:r w:rsidRPr="00CF1F4A">
        <w:rPr>
          <w:rFonts w:cs="Times New Roman"/>
        </w:rPr>
        <w:t xml:space="preserve"> juvenile offenders admitted to reform institutions in </w:t>
      </w:r>
      <w:r w:rsidR="00481636" w:rsidRPr="00CF1F4A">
        <w:t xml:space="preserve">Palestine </w:t>
      </w:r>
      <w:r w:rsidRPr="00CF1F4A">
        <w:rPr>
          <w:rFonts w:cs="Times New Roman"/>
        </w:rPr>
        <w:t xml:space="preserve">in </w:t>
      </w:r>
      <w:r w:rsidR="00D45D76" w:rsidRPr="00CF1F4A">
        <w:rPr>
          <w:rFonts w:cs="Times New Roman"/>
        </w:rPr>
        <w:t>201</w:t>
      </w:r>
      <w:r w:rsidR="00B65954" w:rsidRPr="00CF1F4A">
        <w:rPr>
          <w:rFonts w:cs="Times New Roman"/>
        </w:rPr>
        <w:t>5</w:t>
      </w:r>
      <w:r w:rsidR="00C94E1E" w:rsidRPr="00CF1F4A">
        <w:rPr>
          <w:rFonts w:cs="Times New Roman"/>
        </w:rPr>
        <w:t>; 193 in the West bank and 889 in Gaza Strip</w:t>
      </w:r>
      <w:r w:rsidR="00A87F82" w:rsidRPr="00CF1F4A">
        <w:rPr>
          <w:rFonts w:cs="Times New Roman"/>
        </w:rPr>
        <w:t>.</w:t>
      </w:r>
      <w:r w:rsidRPr="00CF1F4A">
        <w:rPr>
          <w:rFonts w:cs="Times New Roman"/>
        </w:rPr>
        <w:t xml:space="preserve"> </w:t>
      </w:r>
      <w:r w:rsidR="00A87F82" w:rsidRPr="00CF1F4A">
        <w:rPr>
          <w:rFonts w:cs="Times New Roman"/>
        </w:rPr>
        <w:t xml:space="preserve"> </w:t>
      </w:r>
      <w:r w:rsidRPr="00CF1F4A">
        <w:rPr>
          <w:rFonts w:cs="Times New Roman"/>
        </w:rPr>
        <w:t xml:space="preserve">The criminal offenses committed by </w:t>
      </w:r>
      <w:r w:rsidR="00310703" w:rsidRPr="00CF1F4A">
        <w:rPr>
          <w:rFonts w:cs="Times New Roman"/>
        </w:rPr>
        <w:t xml:space="preserve">those </w:t>
      </w:r>
      <w:r w:rsidRPr="00CF1F4A">
        <w:rPr>
          <w:rFonts w:cs="Times New Roman"/>
        </w:rPr>
        <w:t xml:space="preserve">juveniles comprised </w:t>
      </w:r>
      <w:r w:rsidR="00B65954" w:rsidRPr="00CF1F4A">
        <w:rPr>
          <w:rFonts w:cs="Times New Roman"/>
        </w:rPr>
        <w:t>264</w:t>
      </w:r>
      <w:r w:rsidRPr="00CF1F4A">
        <w:rPr>
          <w:rFonts w:cs="Times New Roman"/>
        </w:rPr>
        <w:t xml:space="preserve"> cases</w:t>
      </w:r>
      <w:r w:rsidR="00EB36F6" w:rsidRPr="00CF1F4A">
        <w:rPr>
          <w:rFonts w:cs="Times New Roman"/>
        </w:rPr>
        <w:t xml:space="preserve"> of</w:t>
      </w:r>
      <w:r w:rsidRPr="00CF1F4A">
        <w:rPr>
          <w:rFonts w:cs="Times New Roman"/>
        </w:rPr>
        <w:t xml:space="preserve"> </w:t>
      </w:r>
      <w:r w:rsidR="00EB36F6" w:rsidRPr="00CF1F4A">
        <w:rPr>
          <w:rFonts w:cs="Times New Roman"/>
        </w:rPr>
        <w:t xml:space="preserve">assault </w:t>
      </w:r>
      <w:r w:rsidRPr="00CF1F4A">
        <w:rPr>
          <w:rFonts w:cs="Times New Roman"/>
        </w:rPr>
        <w:t xml:space="preserve">and </w:t>
      </w:r>
      <w:r w:rsidR="00310703" w:rsidRPr="00CF1F4A">
        <w:rPr>
          <w:rFonts w:cs="Times New Roman"/>
        </w:rPr>
        <w:t>quarrel</w:t>
      </w:r>
      <w:r w:rsidRPr="00CF1F4A">
        <w:rPr>
          <w:rFonts w:cs="Times New Roman"/>
        </w:rPr>
        <w:t xml:space="preserve">, </w:t>
      </w:r>
      <w:r w:rsidR="00B65954" w:rsidRPr="00CF1F4A">
        <w:rPr>
          <w:rFonts w:cs="Times New Roman"/>
        </w:rPr>
        <w:t>471</w:t>
      </w:r>
      <w:r w:rsidRPr="00CF1F4A">
        <w:rPr>
          <w:rFonts w:cs="Times New Roman"/>
          <w:rtl/>
        </w:rPr>
        <w:t xml:space="preserve"> </w:t>
      </w:r>
      <w:r w:rsidRPr="00CF1F4A">
        <w:rPr>
          <w:rFonts w:cs="Times New Roman"/>
        </w:rPr>
        <w:t xml:space="preserve">cases of </w:t>
      </w:r>
      <w:r w:rsidR="00310703" w:rsidRPr="00CF1F4A">
        <w:rPr>
          <w:rFonts w:cs="Times New Roman"/>
        </w:rPr>
        <w:t xml:space="preserve">burglary </w:t>
      </w:r>
      <w:r w:rsidRPr="00CF1F4A">
        <w:rPr>
          <w:rFonts w:cs="Times New Roman"/>
        </w:rPr>
        <w:t xml:space="preserve">and </w:t>
      </w:r>
      <w:r w:rsidR="00310703" w:rsidRPr="00CF1F4A">
        <w:rPr>
          <w:rFonts w:cs="Times New Roman"/>
        </w:rPr>
        <w:t>theft</w:t>
      </w:r>
      <w:r w:rsidRPr="00CF1F4A">
        <w:rPr>
          <w:rFonts w:cs="Times New Roman"/>
        </w:rPr>
        <w:t xml:space="preserve">, and </w:t>
      </w:r>
      <w:r w:rsidR="00B65954" w:rsidRPr="00CF1F4A">
        <w:rPr>
          <w:rFonts w:cs="Times New Roman"/>
        </w:rPr>
        <w:t>170</w:t>
      </w:r>
      <w:r w:rsidRPr="00CF1F4A">
        <w:rPr>
          <w:rFonts w:cs="Times New Roman"/>
        </w:rPr>
        <w:t xml:space="preserve"> cases of </w:t>
      </w:r>
      <w:r w:rsidR="00310703" w:rsidRPr="00CF1F4A">
        <w:rPr>
          <w:rFonts w:cs="Times New Roman"/>
        </w:rPr>
        <w:t>immoral offenses</w:t>
      </w:r>
      <w:r w:rsidRPr="00CF1F4A">
        <w:rPr>
          <w:rFonts w:cs="Times New Roman"/>
        </w:rPr>
        <w:t>.</w:t>
      </w:r>
    </w:p>
    <w:p w:rsidR="009A728A" w:rsidRPr="00CF1F4A" w:rsidRDefault="009A728A" w:rsidP="009A728A">
      <w:pPr>
        <w:pStyle w:val="BodyText"/>
        <w:overflowPunct/>
        <w:autoSpaceDE/>
        <w:autoSpaceDN/>
        <w:adjustRightInd/>
        <w:jc w:val="lowKashida"/>
        <w:textAlignment w:val="auto"/>
        <w:rPr>
          <w:rFonts w:cs="Times New Roman"/>
          <w:sz w:val="10"/>
          <w:szCs w:val="10"/>
        </w:rPr>
      </w:pPr>
    </w:p>
    <w:p w:rsidR="006868A7" w:rsidRPr="00CF1F4A" w:rsidRDefault="006868A7" w:rsidP="00310703">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 xml:space="preserve">Road traffic accidents: data doesn’t include traffic accidents in Jerusalem which was illegally annexed by Israel following its occupation of the West Bank in 1967: There were </w:t>
      </w:r>
      <w:r w:rsidR="00914D77" w:rsidRPr="00CF1F4A">
        <w:rPr>
          <w:rFonts w:cs="Times New Roman" w:hint="cs"/>
          <w:rtl/>
        </w:rPr>
        <w:t>10</w:t>
      </w:r>
      <w:r w:rsidRPr="00CF1F4A">
        <w:rPr>
          <w:rFonts w:cs="Times New Roman" w:hint="cs"/>
          <w:rtl/>
        </w:rPr>
        <w:t>,</w:t>
      </w:r>
      <w:r w:rsidR="00914D77" w:rsidRPr="00CF1F4A">
        <w:rPr>
          <w:rFonts w:cs="Times New Roman"/>
        </w:rPr>
        <w:t>630</w:t>
      </w:r>
      <w:r w:rsidRPr="00CF1F4A">
        <w:rPr>
          <w:rFonts w:cs="Times New Roman"/>
        </w:rPr>
        <w:t xml:space="preserve"> road traffic accidents in the West Bank in </w:t>
      </w:r>
      <w:r w:rsidR="00914D77" w:rsidRPr="00CF1F4A">
        <w:rPr>
          <w:rFonts w:cs="Times New Roman"/>
        </w:rPr>
        <w:t>2016</w:t>
      </w:r>
      <w:r w:rsidR="00C63D1F" w:rsidRPr="00CF1F4A">
        <w:rPr>
          <w:rFonts w:cs="Times New Roman"/>
        </w:rPr>
        <w:t>.</w:t>
      </w:r>
      <w:r w:rsidRPr="00CF1F4A">
        <w:rPr>
          <w:rFonts w:cs="Times New Roman"/>
        </w:rPr>
        <w:t xml:space="preserve"> </w:t>
      </w:r>
    </w:p>
    <w:p w:rsidR="006868A7" w:rsidRPr="00CF1F4A" w:rsidRDefault="006868A7" w:rsidP="006868A7">
      <w:pPr>
        <w:pStyle w:val="BodyText"/>
        <w:overflowPunct/>
        <w:autoSpaceDE/>
        <w:autoSpaceDN/>
        <w:adjustRightInd/>
        <w:ind w:left="142"/>
        <w:jc w:val="lowKashida"/>
        <w:textAlignment w:val="auto"/>
        <w:rPr>
          <w:rFonts w:cs="Times New Roman"/>
          <w:sz w:val="10"/>
          <w:szCs w:val="10"/>
        </w:rPr>
      </w:pPr>
    </w:p>
    <w:p w:rsidR="006868A7" w:rsidRPr="00CF1F4A" w:rsidRDefault="006868A7" w:rsidP="00914D77">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 xml:space="preserve">There were </w:t>
      </w:r>
      <w:r w:rsidR="00914D77" w:rsidRPr="00CF1F4A">
        <w:rPr>
          <w:rFonts w:cs="Times New Roman"/>
        </w:rPr>
        <w:t>9</w:t>
      </w:r>
      <w:r w:rsidR="00673520" w:rsidRPr="00CF1F4A">
        <w:rPr>
          <w:rFonts w:cs="Times New Roman"/>
        </w:rPr>
        <w:t>,</w:t>
      </w:r>
      <w:r w:rsidR="00914D77" w:rsidRPr="00CF1F4A">
        <w:rPr>
          <w:rFonts w:cs="Times New Roman"/>
        </w:rPr>
        <w:t>447</w:t>
      </w:r>
      <w:r w:rsidRPr="00CF1F4A">
        <w:rPr>
          <w:rFonts w:cs="Times New Roman"/>
        </w:rPr>
        <w:t xml:space="preserve"> injuries caused by road accidents as follows: </w:t>
      </w:r>
      <w:r w:rsidR="00914D77" w:rsidRPr="00CF1F4A">
        <w:rPr>
          <w:rFonts w:cs="Times New Roman"/>
        </w:rPr>
        <w:t>8</w:t>
      </w:r>
      <w:r w:rsidR="00673520" w:rsidRPr="00CF1F4A">
        <w:rPr>
          <w:rFonts w:cs="Times New Roman"/>
        </w:rPr>
        <w:t>,</w:t>
      </w:r>
      <w:r w:rsidR="00914D77" w:rsidRPr="00CF1F4A">
        <w:rPr>
          <w:rFonts w:cs="Times New Roman"/>
        </w:rPr>
        <w:t>367</w:t>
      </w:r>
      <w:r w:rsidRPr="00CF1F4A">
        <w:rPr>
          <w:rFonts w:cs="Times New Roman"/>
        </w:rPr>
        <w:t xml:space="preserve"> minor injuries, </w:t>
      </w:r>
      <w:r w:rsidR="00914D77" w:rsidRPr="00CF1F4A">
        <w:rPr>
          <w:rFonts w:cs="Times New Roman"/>
        </w:rPr>
        <w:t>743</w:t>
      </w:r>
      <w:r w:rsidRPr="00CF1F4A">
        <w:rPr>
          <w:rFonts w:cs="Times New Roman"/>
        </w:rPr>
        <w:t xml:space="preserve"> moderate injuries, </w:t>
      </w:r>
      <w:r w:rsidR="00914D77" w:rsidRPr="00CF1F4A">
        <w:rPr>
          <w:rFonts w:cs="Times New Roman"/>
        </w:rPr>
        <w:t>178</w:t>
      </w:r>
      <w:r w:rsidRPr="00CF1F4A">
        <w:rPr>
          <w:rFonts w:cs="Times New Roman"/>
        </w:rPr>
        <w:t xml:space="preserve"> serious injuries and </w:t>
      </w:r>
      <w:r w:rsidR="00914D77" w:rsidRPr="00CF1F4A">
        <w:rPr>
          <w:rFonts w:cs="Times New Roman"/>
        </w:rPr>
        <w:t>159</w:t>
      </w:r>
      <w:r w:rsidRPr="00CF1F4A">
        <w:rPr>
          <w:rFonts w:cs="Times New Roman"/>
        </w:rPr>
        <w:t xml:space="preserve"> fatalities.</w:t>
      </w:r>
    </w:p>
    <w:p w:rsidR="006868A7" w:rsidRPr="00CF1F4A" w:rsidRDefault="006868A7" w:rsidP="00211DE3">
      <w:pPr>
        <w:pStyle w:val="ListParagraph"/>
        <w:bidi w:val="0"/>
        <w:ind w:left="0"/>
        <w:jc w:val="lowKashida"/>
        <w:rPr>
          <w:rFonts w:cs="Times New Roman"/>
          <w:i/>
          <w:iCs/>
          <w:sz w:val="20"/>
          <w:u w:val="single"/>
        </w:rPr>
      </w:pPr>
      <w:r w:rsidRPr="00CF1F4A">
        <w:rPr>
          <w:rFonts w:cs="Times New Roman"/>
          <w:i/>
          <w:iCs/>
          <w:sz w:val="20"/>
          <w:u w:val="single"/>
        </w:rPr>
        <w:t>For more details on security and justice, see the tables in chapter 1.</w:t>
      </w:r>
      <w:r w:rsidR="00211DE3" w:rsidRPr="00CF1F4A">
        <w:rPr>
          <w:rFonts w:cs="Times New Roman"/>
          <w:i/>
          <w:iCs/>
          <w:sz w:val="20"/>
          <w:u w:val="single"/>
        </w:rPr>
        <w:t>12</w:t>
      </w:r>
      <w:r w:rsidRPr="00CF1F4A">
        <w:rPr>
          <w:rFonts w:cs="Times New Roman"/>
          <w:i/>
          <w:iCs/>
          <w:sz w:val="20"/>
          <w:u w:val="single"/>
        </w:rPr>
        <w:t xml:space="preserve"> of the Arabic section, pages</w:t>
      </w:r>
      <w:r w:rsidRPr="00CF1F4A">
        <w:rPr>
          <w:rFonts w:cs="Times New Roman"/>
          <w:i/>
          <w:iCs/>
          <w:noProof w:val="0"/>
          <w:sz w:val="20"/>
          <w:u w:val="single"/>
          <w:rtl/>
        </w:rPr>
        <w:t xml:space="preserve"> </w:t>
      </w:r>
      <w:r w:rsidR="00211DE3" w:rsidRPr="00CF1F4A">
        <w:rPr>
          <w:rFonts w:cs="Times New Roman"/>
          <w:i/>
          <w:iCs/>
          <w:sz w:val="20"/>
          <w:u w:val="single"/>
        </w:rPr>
        <w:t>163</w:t>
      </w:r>
      <w:r w:rsidRPr="00CF1F4A">
        <w:rPr>
          <w:rFonts w:cs="Times New Roman"/>
          <w:i/>
          <w:iCs/>
          <w:sz w:val="20"/>
          <w:u w:val="single"/>
        </w:rPr>
        <w:t>-</w:t>
      </w:r>
      <w:r w:rsidR="00211DE3" w:rsidRPr="00CF1F4A">
        <w:rPr>
          <w:rFonts w:cs="Times New Roman"/>
          <w:i/>
          <w:iCs/>
          <w:sz w:val="20"/>
          <w:u w:val="single"/>
        </w:rPr>
        <w:t>168</w:t>
      </w:r>
      <w:r w:rsidRPr="00CF1F4A">
        <w:rPr>
          <w:rFonts w:cs="Times New Roman"/>
          <w:i/>
          <w:iCs/>
          <w:sz w:val="20"/>
          <w:u w:val="single"/>
        </w:rPr>
        <w:t>.</w:t>
      </w:r>
    </w:p>
    <w:p w:rsidR="006868A7" w:rsidRPr="00CF1F4A" w:rsidRDefault="006868A7">
      <w:pPr>
        <w:overflowPunct/>
        <w:autoSpaceDE/>
        <w:autoSpaceDN/>
        <w:adjustRightInd/>
        <w:textAlignment w:val="auto"/>
        <w:rPr>
          <w:rFonts w:cs="Traditional Arabic"/>
          <w:b/>
          <w:bCs/>
          <w:noProof/>
          <w:sz w:val="10"/>
          <w:szCs w:val="10"/>
        </w:rPr>
      </w:pPr>
    </w:p>
    <w:p w:rsidR="00B56D61" w:rsidRPr="00CF1F4A" w:rsidRDefault="00B56D61" w:rsidP="00331B49">
      <w:pPr>
        <w:pStyle w:val="Title"/>
        <w:numPr>
          <w:ilvl w:val="0"/>
          <w:numId w:val="2"/>
        </w:numPr>
        <w:bidi w:val="0"/>
        <w:ind w:left="98" w:hanging="308"/>
        <w:jc w:val="left"/>
        <w:rPr>
          <w:rFonts w:cs="Traditional Arabic"/>
          <w:sz w:val="20"/>
          <w:szCs w:val="20"/>
        </w:rPr>
      </w:pPr>
      <w:r w:rsidRPr="00CF1F4A">
        <w:rPr>
          <w:rFonts w:cs="Traditional Arabic"/>
          <w:sz w:val="20"/>
          <w:szCs w:val="20"/>
        </w:rPr>
        <w:t>Establishment</w:t>
      </w:r>
      <w:r w:rsidR="00CC6ED1" w:rsidRPr="00CF1F4A">
        <w:rPr>
          <w:rFonts w:cs="Traditional Arabic"/>
          <w:sz w:val="20"/>
          <w:szCs w:val="20"/>
        </w:rPr>
        <w:t>s</w:t>
      </w:r>
    </w:p>
    <w:p w:rsidR="003E4CA5" w:rsidRPr="00CF1F4A" w:rsidRDefault="00CC6ED1" w:rsidP="0015396D">
      <w:pPr>
        <w:pStyle w:val="BodyText"/>
        <w:numPr>
          <w:ilvl w:val="0"/>
          <w:numId w:val="3"/>
        </w:numPr>
        <w:overflowPunct/>
        <w:autoSpaceDE/>
        <w:autoSpaceDN/>
        <w:adjustRightInd/>
        <w:ind w:left="142" w:hanging="142"/>
        <w:textAlignment w:val="auto"/>
      </w:pPr>
      <w:r w:rsidRPr="00CF1F4A">
        <w:t>In 2012 e</w:t>
      </w:r>
      <w:r w:rsidR="00210CA8" w:rsidRPr="00CF1F4A">
        <w:t>stablishment</w:t>
      </w:r>
      <w:r w:rsidRPr="00CF1F4A">
        <w:t>s operating</w:t>
      </w:r>
      <w:r w:rsidR="00210CA8" w:rsidRPr="00CF1F4A">
        <w:t xml:space="preserve"> in the private sector, n</w:t>
      </w:r>
      <w:r w:rsidR="00106734" w:rsidRPr="00CF1F4A">
        <w:t xml:space="preserve">on-governmental   </w:t>
      </w:r>
      <w:r w:rsidR="006C4981" w:rsidRPr="00CF1F4A">
        <w:t>organization</w:t>
      </w:r>
      <w:r w:rsidR="00210CA8" w:rsidRPr="00CF1F4A">
        <w:t xml:space="preserve"> sector and government</w:t>
      </w:r>
      <w:r w:rsidR="001047EC" w:rsidRPr="00CF1F4A">
        <w:t>al</w:t>
      </w:r>
      <w:r w:rsidR="00210CA8" w:rsidRPr="00CF1F4A">
        <w:t xml:space="preserve"> companies in Palestine </w:t>
      </w:r>
      <w:r w:rsidRPr="00CF1F4A">
        <w:t xml:space="preserve">comprised </w:t>
      </w:r>
      <w:r w:rsidR="00210CA8" w:rsidRPr="00CF1F4A">
        <w:t xml:space="preserve">135,401 </w:t>
      </w:r>
      <w:r w:rsidR="006C4981" w:rsidRPr="00CF1F4A">
        <w:t>e</w:t>
      </w:r>
      <w:r w:rsidR="00210CA8" w:rsidRPr="00CF1F4A">
        <w:t>stablishment</w:t>
      </w:r>
      <w:r w:rsidRPr="00CF1F4A">
        <w:t>s</w:t>
      </w:r>
      <w:r w:rsidR="009A1CD5" w:rsidRPr="00CF1F4A">
        <w:t>:</w:t>
      </w:r>
      <w:r w:rsidR="00210CA8" w:rsidRPr="00CF1F4A">
        <w:t xml:space="preserve"> 91,203 </w:t>
      </w:r>
      <w:r w:rsidR="006C4981" w:rsidRPr="00CF1F4A">
        <w:t>e</w:t>
      </w:r>
      <w:r w:rsidR="00210CA8" w:rsidRPr="00CF1F4A">
        <w:t>stablishment</w:t>
      </w:r>
      <w:r w:rsidRPr="00CF1F4A">
        <w:t>s</w:t>
      </w:r>
      <w:r w:rsidR="00210CA8" w:rsidRPr="00CF1F4A">
        <w:t xml:space="preserve"> in the </w:t>
      </w:r>
      <w:r w:rsidR="006C4981" w:rsidRPr="00CF1F4A">
        <w:t>W</w:t>
      </w:r>
      <w:r w:rsidR="00210CA8" w:rsidRPr="00CF1F4A">
        <w:t xml:space="preserve">est </w:t>
      </w:r>
      <w:r w:rsidR="006C4981" w:rsidRPr="00CF1F4A">
        <w:t>B</w:t>
      </w:r>
      <w:r w:rsidR="00210CA8" w:rsidRPr="00CF1F4A">
        <w:t xml:space="preserve">ank and 44,198 </w:t>
      </w:r>
      <w:r w:rsidR="006C4981" w:rsidRPr="00CF1F4A">
        <w:t>e</w:t>
      </w:r>
      <w:r w:rsidR="00210CA8" w:rsidRPr="00CF1F4A">
        <w:t>stablishment</w:t>
      </w:r>
      <w:r w:rsidRPr="00CF1F4A">
        <w:t>s</w:t>
      </w:r>
      <w:r w:rsidR="00210CA8" w:rsidRPr="00CF1F4A">
        <w:t xml:space="preserve"> in </w:t>
      </w:r>
      <w:r w:rsidR="007C01D8" w:rsidRPr="00CF1F4A">
        <w:t>Gaza Strip</w:t>
      </w:r>
      <w:r w:rsidRPr="00CF1F4A">
        <w:t>.</w:t>
      </w:r>
      <w:r w:rsidR="00106734" w:rsidRPr="00CF1F4A">
        <w:t xml:space="preserve"> </w:t>
      </w:r>
      <w:r w:rsidRPr="00CF1F4A">
        <w:t>T</w:t>
      </w:r>
      <w:r w:rsidR="00106734" w:rsidRPr="00CF1F4A">
        <w:t xml:space="preserve">he number of employees </w:t>
      </w:r>
      <w:r w:rsidR="00210CA8" w:rsidRPr="00CF1F4A">
        <w:t xml:space="preserve">in </w:t>
      </w:r>
      <w:r w:rsidR="0015396D" w:rsidRPr="00CF1F4A">
        <w:t>Palestine in 2012</w:t>
      </w:r>
      <w:r w:rsidR="00210CA8" w:rsidRPr="00CF1F4A">
        <w:t xml:space="preserve"> w</w:t>
      </w:r>
      <w:r w:rsidRPr="00CF1F4A">
        <w:t>as</w:t>
      </w:r>
      <w:r w:rsidR="00210CA8" w:rsidRPr="00CF1F4A">
        <w:t xml:space="preserve"> 384,778</w:t>
      </w:r>
      <w:r w:rsidRPr="00CF1F4A">
        <w:t>:</w:t>
      </w:r>
      <w:r w:rsidR="00210CA8" w:rsidRPr="00CF1F4A">
        <w:t xml:space="preserve"> </w:t>
      </w:r>
      <w:r w:rsidR="00D76428" w:rsidRPr="00CF1F4A">
        <w:t>2</w:t>
      </w:r>
      <w:r w:rsidR="00210CA8" w:rsidRPr="00CF1F4A">
        <w:t xml:space="preserve">62,825 employees in the </w:t>
      </w:r>
      <w:r w:rsidR="006C4981" w:rsidRPr="00CF1F4A">
        <w:t xml:space="preserve">West Bank </w:t>
      </w:r>
      <w:r w:rsidR="00210CA8" w:rsidRPr="00CF1F4A">
        <w:t xml:space="preserve">and 121,953 employees in </w:t>
      </w:r>
      <w:r w:rsidR="007C01D8" w:rsidRPr="00CF1F4A">
        <w:t>Gaza Strip</w:t>
      </w:r>
      <w:r w:rsidR="00210CA8" w:rsidRPr="00CF1F4A">
        <w:t>.</w:t>
      </w:r>
    </w:p>
    <w:p w:rsidR="004243CF" w:rsidRPr="00CF1F4A" w:rsidRDefault="004243CF" w:rsidP="004243CF">
      <w:pPr>
        <w:pStyle w:val="BodyText"/>
        <w:overflowPunct/>
        <w:autoSpaceDE/>
        <w:autoSpaceDN/>
        <w:adjustRightInd/>
        <w:textAlignment w:val="auto"/>
        <w:rPr>
          <w:sz w:val="10"/>
          <w:szCs w:val="10"/>
        </w:rPr>
      </w:pPr>
    </w:p>
    <w:p w:rsidR="00451E35" w:rsidRPr="00CF1F4A" w:rsidRDefault="00B56D61" w:rsidP="004243CF">
      <w:pPr>
        <w:pStyle w:val="BodyText"/>
        <w:numPr>
          <w:ilvl w:val="0"/>
          <w:numId w:val="3"/>
        </w:numPr>
        <w:overflowPunct/>
        <w:autoSpaceDE/>
        <w:autoSpaceDN/>
        <w:adjustRightInd/>
        <w:ind w:left="142" w:hanging="142"/>
        <w:textAlignment w:val="auto"/>
      </w:pPr>
      <w:r w:rsidRPr="00CF1F4A">
        <w:t>The distribution of establishments</w:t>
      </w:r>
      <w:r w:rsidR="00CC6ED1" w:rsidRPr="00CF1F4A">
        <w:t xml:space="preserve"> operating</w:t>
      </w:r>
      <w:r w:rsidR="00AA30CE" w:rsidRPr="00CF1F4A">
        <w:t xml:space="preserve"> in 2012</w:t>
      </w:r>
      <w:r w:rsidRPr="00CF1F4A">
        <w:t xml:space="preserve"> in Palestine in the private sector,</w:t>
      </w:r>
      <w:r w:rsidR="00D76428" w:rsidRPr="00CF1F4A">
        <w:t xml:space="preserve"> </w:t>
      </w:r>
      <w:r w:rsidRPr="00CF1F4A">
        <w:t>non-governmental organization s</w:t>
      </w:r>
      <w:r w:rsidR="004D4069" w:rsidRPr="00CF1F4A">
        <w:t>ector and government</w:t>
      </w:r>
      <w:r w:rsidR="001047EC" w:rsidRPr="00CF1F4A">
        <w:t>al</w:t>
      </w:r>
      <w:r w:rsidR="004D4069" w:rsidRPr="00CF1F4A">
        <w:t xml:space="preserve"> companies </w:t>
      </w:r>
      <w:r w:rsidRPr="00CF1F4A">
        <w:t>by economic activity</w:t>
      </w:r>
      <w:r w:rsidR="00451E35" w:rsidRPr="00CF1F4A">
        <w:t xml:space="preserve"> </w:t>
      </w:r>
      <w:r w:rsidR="00CC6ED1" w:rsidRPr="00CF1F4A">
        <w:t>s</w:t>
      </w:r>
      <w:r w:rsidRPr="00CF1F4A">
        <w:t>how</w:t>
      </w:r>
      <w:r w:rsidR="006C4981" w:rsidRPr="00CF1F4A">
        <w:t>ed</w:t>
      </w:r>
      <w:r w:rsidRPr="00CF1F4A">
        <w:t xml:space="preserve"> that the activities of wholesale, retail</w:t>
      </w:r>
      <w:r w:rsidR="005223F2" w:rsidRPr="00CF1F4A">
        <w:t xml:space="preserve"> trade</w:t>
      </w:r>
      <w:r w:rsidRPr="00CF1F4A">
        <w:t xml:space="preserve"> and repairs came first with 73,823 establishments, </w:t>
      </w:r>
      <w:r w:rsidR="006C4981" w:rsidRPr="00CF1F4A">
        <w:t>m</w:t>
      </w:r>
      <w:r w:rsidRPr="00CF1F4A">
        <w:t xml:space="preserve">anufacturing activities came in second place with 17,858 establishments, </w:t>
      </w:r>
      <w:r w:rsidR="00CC6ED1" w:rsidRPr="00CF1F4A">
        <w:t xml:space="preserve">and </w:t>
      </w:r>
      <w:r w:rsidRPr="00CF1F4A">
        <w:t xml:space="preserve">establishments in other services activities </w:t>
      </w:r>
      <w:r w:rsidR="00CC6ED1" w:rsidRPr="00CF1F4A">
        <w:t>totaled</w:t>
      </w:r>
      <w:r w:rsidRPr="00CF1F4A">
        <w:t xml:space="preserve"> 13,098 establishments</w:t>
      </w:r>
      <w:r w:rsidR="00CC6ED1" w:rsidRPr="00CF1F4A">
        <w:t>.</w:t>
      </w:r>
      <w:r w:rsidRPr="00CF1F4A">
        <w:t xml:space="preserve"> </w:t>
      </w:r>
      <w:r w:rsidR="00CC6ED1" w:rsidRPr="00CF1F4A">
        <w:t>T</w:t>
      </w:r>
      <w:r w:rsidRPr="00CF1F4A">
        <w:t xml:space="preserve">he </w:t>
      </w:r>
      <w:r w:rsidR="00B12511" w:rsidRPr="00CF1F4A">
        <w:t>smallest number was</w:t>
      </w:r>
      <w:r w:rsidRPr="00CF1F4A">
        <w:t xml:space="preserve"> in the </w:t>
      </w:r>
      <w:r w:rsidR="006C4981" w:rsidRPr="00CF1F4A">
        <w:t>a</w:t>
      </w:r>
      <w:r w:rsidRPr="00CF1F4A">
        <w:t xml:space="preserve">ctivities of households as employers </w:t>
      </w:r>
      <w:r w:rsidR="009A1CD5" w:rsidRPr="00CF1F4A">
        <w:t xml:space="preserve">of </w:t>
      </w:r>
      <w:r w:rsidRPr="00CF1F4A">
        <w:t xml:space="preserve">undifferentiated goods and service-producing activities of households for own use </w:t>
      </w:r>
      <w:r w:rsidR="00B12511" w:rsidRPr="00CF1F4A">
        <w:t>with six</w:t>
      </w:r>
      <w:r w:rsidRPr="00CF1F4A">
        <w:t xml:space="preserve"> establishments</w:t>
      </w:r>
      <w:r w:rsidR="00451E35" w:rsidRPr="00CF1F4A">
        <w:t>.</w:t>
      </w:r>
      <w:r w:rsidRPr="00CF1F4A">
        <w:t xml:space="preserve">  </w:t>
      </w:r>
    </w:p>
    <w:p w:rsidR="00451E35" w:rsidRPr="00CF1F4A" w:rsidRDefault="00451E35" w:rsidP="0067374A">
      <w:pPr>
        <w:pStyle w:val="Title"/>
        <w:bidi w:val="0"/>
        <w:jc w:val="left"/>
        <w:rPr>
          <w:rFonts w:cs="Times New Roman"/>
          <w:b w:val="0"/>
          <w:bCs w:val="0"/>
          <w:i/>
          <w:iCs/>
          <w:noProof w:val="0"/>
          <w:sz w:val="20"/>
          <w:szCs w:val="20"/>
          <w:u w:val="single"/>
        </w:rPr>
      </w:pPr>
      <w:r w:rsidRPr="00CF1F4A">
        <w:rPr>
          <w:rFonts w:cs="Times New Roman"/>
          <w:b w:val="0"/>
          <w:bCs w:val="0"/>
          <w:i/>
          <w:iCs/>
          <w:noProof w:val="0"/>
          <w:sz w:val="20"/>
          <w:szCs w:val="20"/>
          <w:u w:val="single"/>
        </w:rPr>
        <w:t xml:space="preserve">For more details on </w:t>
      </w:r>
      <w:r w:rsidR="00B12511" w:rsidRPr="00CF1F4A">
        <w:rPr>
          <w:rFonts w:cs="Times New Roman"/>
          <w:b w:val="0"/>
          <w:bCs w:val="0"/>
          <w:i/>
          <w:iCs/>
          <w:noProof w:val="0"/>
          <w:sz w:val="20"/>
          <w:szCs w:val="20"/>
          <w:u w:val="single"/>
        </w:rPr>
        <w:t>e</w:t>
      </w:r>
      <w:r w:rsidRPr="00CF1F4A">
        <w:rPr>
          <w:rFonts w:cs="Times New Roman"/>
          <w:b w:val="0"/>
          <w:bCs w:val="0"/>
          <w:i/>
          <w:iCs/>
          <w:noProof w:val="0"/>
          <w:sz w:val="20"/>
          <w:szCs w:val="20"/>
          <w:u w:val="single"/>
        </w:rPr>
        <w:t>stablishment</w:t>
      </w:r>
      <w:r w:rsidR="00B12511" w:rsidRPr="00CF1F4A">
        <w:rPr>
          <w:rFonts w:cs="Times New Roman"/>
          <w:b w:val="0"/>
          <w:bCs w:val="0"/>
          <w:i/>
          <w:iCs/>
          <w:noProof w:val="0"/>
          <w:sz w:val="20"/>
          <w:szCs w:val="20"/>
          <w:u w:val="single"/>
        </w:rPr>
        <w:t>s</w:t>
      </w:r>
      <w:r w:rsidRPr="00CF1F4A">
        <w:rPr>
          <w:rFonts w:cs="Times New Roman"/>
          <w:b w:val="0"/>
          <w:bCs w:val="0"/>
          <w:i/>
          <w:iCs/>
          <w:noProof w:val="0"/>
          <w:sz w:val="20"/>
          <w:szCs w:val="20"/>
          <w:u w:val="single"/>
        </w:rPr>
        <w:t>, see the tables in chapter 1.1</w:t>
      </w:r>
      <w:r w:rsidR="003233AA" w:rsidRPr="00CF1F4A">
        <w:rPr>
          <w:rFonts w:cs="Times New Roman"/>
          <w:b w:val="0"/>
          <w:bCs w:val="0"/>
          <w:i/>
          <w:iCs/>
          <w:noProof w:val="0"/>
          <w:sz w:val="20"/>
          <w:szCs w:val="20"/>
          <w:u w:val="single"/>
        </w:rPr>
        <w:t>3</w:t>
      </w:r>
      <w:r w:rsidRPr="00CF1F4A">
        <w:rPr>
          <w:rFonts w:cs="Times New Roman"/>
          <w:b w:val="0"/>
          <w:bCs w:val="0"/>
          <w:i/>
          <w:iCs/>
          <w:noProof w:val="0"/>
          <w:sz w:val="20"/>
          <w:szCs w:val="20"/>
          <w:u w:val="single"/>
        </w:rPr>
        <w:t xml:space="preserve"> of the Arabic section, pages</w:t>
      </w:r>
      <w:r w:rsidRPr="00CF1F4A">
        <w:rPr>
          <w:rFonts w:cs="Times New Roman"/>
          <w:b w:val="0"/>
          <w:bCs w:val="0"/>
          <w:i/>
          <w:iCs/>
          <w:noProof w:val="0"/>
          <w:sz w:val="20"/>
          <w:szCs w:val="20"/>
          <w:u w:val="single"/>
          <w:rtl/>
        </w:rPr>
        <w:t xml:space="preserve"> </w:t>
      </w:r>
      <w:r w:rsidR="0067374A" w:rsidRPr="00CF1F4A">
        <w:rPr>
          <w:rFonts w:cs="Times New Roman"/>
          <w:b w:val="0"/>
          <w:bCs w:val="0"/>
          <w:i/>
          <w:iCs/>
          <w:noProof w:val="0"/>
          <w:sz w:val="20"/>
          <w:szCs w:val="20"/>
          <w:u w:val="single"/>
        </w:rPr>
        <w:t>169</w:t>
      </w:r>
      <w:r w:rsidRPr="00CF1F4A">
        <w:rPr>
          <w:rFonts w:cs="Times New Roman"/>
          <w:b w:val="0"/>
          <w:bCs w:val="0"/>
          <w:i/>
          <w:iCs/>
          <w:noProof w:val="0"/>
          <w:sz w:val="20"/>
          <w:szCs w:val="20"/>
          <w:u w:val="single"/>
        </w:rPr>
        <w:t>-</w:t>
      </w:r>
      <w:r w:rsidR="0067374A" w:rsidRPr="00CF1F4A">
        <w:rPr>
          <w:rFonts w:cs="Times New Roman"/>
          <w:b w:val="0"/>
          <w:bCs w:val="0"/>
          <w:i/>
          <w:iCs/>
          <w:noProof w:val="0"/>
          <w:sz w:val="20"/>
          <w:szCs w:val="20"/>
          <w:u w:val="single"/>
        </w:rPr>
        <w:t>174</w:t>
      </w:r>
      <w:r w:rsidRPr="00CF1F4A">
        <w:rPr>
          <w:rFonts w:cs="Times New Roman"/>
          <w:b w:val="0"/>
          <w:bCs w:val="0"/>
          <w:i/>
          <w:iCs/>
          <w:noProof w:val="0"/>
          <w:sz w:val="20"/>
          <w:szCs w:val="20"/>
          <w:u w:val="single"/>
        </w:rPr>
        <w:t>.</w:t>
      </w:r>
    </w:p>
    <w:p w:rsidR="00020126" w:rsidRPr="00CF1F4A" w:rsidRDefault="00020126" w:rsidP="00331B49">
      <w:pPr>
        <w:pStyle w:val="Title"/>
        <w:numPr>
          <w:ilvl w:val="0"/>
          <w:numId w:val="2"/>
        </w:numPr>
        <w:bidi w:val="0"/>
        <w:ind w:left="98" w:hanging="308"/>
        <w:jc w:val="left"/>
        <w:rPr>
          <w:rFonts w:cs="Traditional Arabic"/>
          <w:sz w:val="20"/>
          <w:szCs w:val="20"/>
        </w:rPr>
      </w:pPr>
      <w:r w:rsidRPr="00CF1F4A">
        <w:rPr>
          <w:rFonts w:cs="Traditional Arabic"/>
          <w:sz w:val="20"/>
          <w:szCs w:val="20"/>
        </w:rPr>
        <w:lastRenderedPageBreak/>
        <w:t>National Accounts</w:t>
      </w:r>
    </w:p>
    <w:p w:rsidR="005D58E5" w:rsidRPr="00CF1F4A" w:rsidRDefault="005D58E5" w:rsidP="00FE0777">
      <w:pPr>
        <w:pStyle w:val="BodyText"/>
        <w:numPr>
          <w:ilvl w:val="0"/>
          <w:numId w:val="3"/>
        </w:numPr>
        <w:overflowPunct/>
        <w:autoSpaceDE/>
        <w:autoSpaceDN/>
        <w:adjustRightInd/>
        <w:ind w:left="142" w:hanging="142"/>
        <w:textAlignment w:val="auto"/>
        <w:rPr>
          <w:rFonts w:cs="Times New Roman"/>
        </w:rPr>
      </w:pPr>
      <w:r w:rsidRPr="00CF1F4A">
        <w:rPr>
          <w:rFonts w:cs="Times New Roman"/>
        </w:rPr>
        <w:t>The value of the Gross Domestic Product in 2016 at Constant Prices was USD 8,037.0</w:t>
      </w:r>
      <w:r w:rsidRPr="00CF1F4A">
        <w:rPr>
          <w:rFonts w:cs="Times New Roman"/>
          <w:rtl/>
        </w:rPr>
        <w:t xml:space="preserve"> </w:t>
      </w:r>
      <w:r w:rsidRPr="00CF1F4A">
        <w:rPr>
          <w:rFonts w:cs="Times New Roman"/>
        </w:rPr>
        <w:t xml:space="preserve"> million, with an increase of </w:t>
      </w:r>
      <w:r w:rsidRPr="00CF1F4A">
        <w:rPr>
          <w:rFonts w:cs="Times New Roman"/>
          <w:rtl/>
        </w:rPr>
        <w:t>4.1</w:t>
      </w:r>
      <w:r w:rsidRPr="00CF1F4A">
        <w:rPr>
          <w:rFonts w:cs="Times New Roman"/>
        </w:rPr>
        <w:t>% compared with 201</w:t>
      </w:r>
      <w:r w:rsidRPr="00CF1F4A">
        <w:rPr>
          <w:rFonts w:cs="Times New Roman"/>
          <w:rtl/>
        </w:rPr>
        <w:t>5</w:t>
      </w:r>
      <w:r w:rsidRPr="00CF1F4A">
        <w:rPr>
          <w:rFonts w:cs="Times New Roman"/>
        </w:rPr>
        <w:t>.</w:t>
      </w:r>
    </w:p>
    <w:p w:rsidR="009B59AA" w:rsidRPr="00CF1F4A" w:rsidRDefault="009B59AA" w:rsidP="009B59AA">
      <w:pPr>
        <w:pStyle w:val="BodyText"/>
        <w:overflowPunct/>
        <w:autoSpaceDE/>
        <w:autoSpaceDN/>
        <w:adjustRightInd/>
        <w:ind w:left="142"/>
        <w:textAlignment w:val="auto"/>
        <w:rPr>
          <w:rFonts w:cs="Times New Roman"/>
          <w:sz w:val="10"/>
          <w:szCs w:val="10"/>
        </w:rPr>
      </w:pPr>
    </w:p>
    <w:p w:rsidR="005D58E5" w:rsidRPr="00CF1F4A" w:rsidRDefault="005D58E5" w:rsidP="00FE0777">
      <w:pPr>
        <w:pStyle w:val="BodyText"/>
        <w:numPr>
          <w:ilvl w:val="0"/>
          <w:numId w:val="3"/>
        </w:numPr>
        <w:overflowPunct/>
        <w:autoSpaceDE/>
        <w:autoSpaceDN/>
        <w:adjustRightInd/>
        <w:ind w:left="142" w:hanging="142"/>
        <w:textAlignment w:val="auto"/>
        <w:rPr>
          <w:rFonts w:cs="Times New Roman"/>
        </w:rPr>
      </w:pPr>
      <w:r w:rsidRPr="00CF1F4A">
        <w:rPr>
          <w:rFonts w:cs="Times New Roman"/>
        </w:rPr>
        <w:t xml:space="preserve">GDP per capita at Constant Prices was USD </w:t>
      </w:r>
      <w:r w:rsidRPr="00CF1F4A">
        <w:rPr>
          <w:rFonts w:cs="Times New Roman"/>
          <w:rtl/>
        </w:rPr>
        <w:t>1,7</w:t>
      </w:r>
      <w:r w:rsidRPr="00CF1F4A">
        <w:rPr>
          <w:rFonts w:cs="Times New Roman"/>
        </w:rPr>
        <w:t>6</w:t>
      </w:r>
      <w:r w:rsidRPr="00CF1F4A">
        <w:rPr>
          <w:rFonts w:cs="Times New Roman"/>
          <w:rtl/>
        </w:rPr>
        <w:t>5.9</w:t>
      </w:r>
      <w:r w:rsidRPr="00CF1F4A">
        <w:rPr>
          <w:rFonts w:cs="Times New Roman"/>
        </w:rPr>
        <w:t xml:space="preserve"> in 201</w:t>
      </w:r>
      <w:r w:rsidRPr="00CF1F4A">
        <w:rPr>
          <w:rFonts w:cs="Times New Roman"/>
          <w:rtl/>
        </w:rPr>
        <w:t>6</w:t>
      </w:r>
      <w:r w:rsidRPr="00CF1F4A">
        <w:rPr>
          <w:rFonts w:cs="Times New Roman"/>
        </w:rPr>
        <w:t>, an increase of 1.2% compared with 201</w:t>
      </w:r>
      <w:r w:rsidRPr="00CF1F4A">
        <w:rPr>
          <w:rFonts w:cs="Times New Roman"/>
          <w:rtl/>
        </w:rPr>
        <w:t>5</w:t>
      </w:r>
      <w:r w:rsidRPr="00CF1F4A">
        <w:rPr>
          <w:rFonts w:cs="Times New Roman"/>
        </w:rPr>
        <w:t>.</w:t>
      </w:r>
    </w:p>
    <w:p w:rsidR="009B59AA" w:rsidRPr="00CF1F4A" w:rsidRDefault="009B59AA" w:rsidP="009B59AA">
      <w:pPr>
        <w:bidi/>
        <w:rPr>
          <w:sz w:val="10"/>
          <w:szCs w:val="10"/>
        </w:rPr>
      </w:pPr>
    </w:p>
    <w:p w:rsidR="005D58E5" w:rsidRPr="00CF1F4A" w:rsidRDefault="005D58E5" w:rsidP="002B7994">
      <w:pPr>
        <w:pStyle w:val="BodyText"/>
        <w:numPr>
          <w:ilvl w:val="0"/>
          <w:numId w:val="3"/>
        </w:numPr>
        <w:overflowPunct/>
        <w:autoSpaceDE/>
        <w:autoSpaceDN/>
        <w:adjustRightInd/>
        <w:ind w:left="142" w:hanging="142"/>
        <w:textAlignment w:val="auto"/>
        <w:rPr>
          <w:rFonts w:cs="Times New Roman"/>
        </w:rPr>
      </w:pPr>
      <w:r w:rsidRPr="00CF1F4A">
        <w:rPr>
          <w:rFonts w:cs="Times New Roman"/>
        </w:rPr>
        <w:t xml:space="preserve">Gross national income totaled USD </w:t>
      </w:r>
      <w:r w:rsidRPr="00CF1F4A">
        <w:rPr>
          <w:rFonts w:cs="Times New Roman"/>
          <w:rtl/>
        </w:rPr>
        <w:t>8,</w:t>
      </w:r>
      <w:r w:rsidRPr="00CF1F4A">
        <w:rPr>
          <w:rFonts w:cs="Times New Roman"/>
        </w:rPr>
        <w:t xml:space="preserve">725.0 million in </w:t>
      </w:r>
      <w:r w:rsidR="002B7994" w:rsidRPr="00CF1F4A">
        <w:rPr>
          <w:rFonts w:cs="Times New Roman"/>
        </w:rPr>
        <w:t>2016</w:t>
      </w:r>
      <w:r w:rsidRPr="00CF1F4A">
        <w:rPr>
          <w:rFonts w:cs="Times New Roman"/>
        </w:rPr>
        <w:t xml:space="preserve">, GNI per capita was USD </w:t>
      </w:r>
      <w:r w:rsidRPr="00CF1F4A">
        <w:rPr>
          <w:rFonts w:cs="Times New Roman"/>
          <w:rtl/>
        </w:rPr>
        <w:t>1,917.0</w:t>
      </w:r>
      <w:r w:rsidRPr="00CF1F4A">
        <w:rPr>
          <w:rFonts w:cs="Times New Roman"/>
        </w:rPr>
        <w:t xml:space="preserve"> in </w:t>
      </w:r>
      <w:r w:rsidR="002B7994" w:rsidRPr="00CF1F4A">
        <w:rPr>
          <w:rFonts w:cs="Times New Roman"/>
        </w:rPr>
        <w:t>the same year</w:t>
      </w:r>
      <w:r w:rsidRPr="00CF1F4A">
        <w:rPr>
          <w:rFonts w:cs="Times New Roman"/>
        </w:rPr>
        <w:t>.</w:t>
      </w:r>
    </w:p>
    <w:p w:rsidR="009B59AA" w:rsidRPr="00CF1F4A" w:rsidRDefault="009B59AA" w:rsidP="009B59AA">
      <w:pPr>
        <w:pStyle w:val="BodyText"/>
        <w:overflowPunct/>
        <w:autoSpaceDE/>
        <w:autoSpaceDN/>
        <w:adjustRightInd/>
        <w:textAlignment w:val="auto"/>
        <w:rPr>
          <w:rFonts w:cs="Times New Roman"/>
          <w:sz w:val="10"/>
          <w:szCs w:val="10"/>
        </w:rPr>
      </w:pPr>
    </w:p>
    <w:p w:rsidR="005D58E5" w:rsidRPr="00CF1F4A" w:rsidRDefault="005D58E5" w:rsidP="002B7994">
      <w:pPr>
        <w:pStyle w:val="BodyText"/>
        <w:numPr>
          <w:ilvl w:val="0"/>
          <w:numId w:val="3"/>
        </w:numPr>
        <w:overflowPunct/>
        <w:autoSpaceDE/>
        <w:autoSpaceDN/>
        <w:adjustRightInd/>
        <w:ind w:left="142" w:hanging="142"/>
        <w:textAlignment w:val="auto"/>
        <w:rPr>
          <w:rFonts w:cs="Times New Roman"/>
        </w:rPr>
      </w:pPr>
      <w:r w:rsidRPr="00CF1F4A">
        <w:rPr>
          <w:rFonts w:cs="Times New Roman"/>
        </w:rPr>
        <w:t xml:space="preserve">Gross disposable income totaled USD </w:t>
      </w:r>
      <w:r w:rsidR="002B7994" w:rsidRPr="00CF1F4A">
        <w:rPr>
          <w:rFonts w:cs="Times New Roman"/>
        </w:rPr>
        <w:t>10,087.7</w:t>
      </w:r>
      <w:r w:rsidRPr="00CF1F4A">
        <w:rPr>
          <w:rFonts w:cs="Times New Roman"/>
        </w:rPr>
        <w:t xml:space="preserve"> million in 2016, GDI per capita was USD </w:t>
      </w:r>
      <w:r w:rsidRPr="00CF1F4A">
        <w:rPr>
          <w:rFonts w:cs="Times New Roman"/>
          <w:rtl/>
        </w:rPr>
        <w:t>2,216.4</w:t>
      </w:r>
      <w:r w:rsidRPr="00CF1F4A">
        <w:rPr>
          <w:rFonts w:cs="Times New Roman"/>
        </w:rPr>
        <w:t xml:space="preserve"> in 2016.</w:t>
      </w:r>
    </w:p>
    <w:p w:rsidR="00683FFC" w:rsidRPr="00CF1F4A" w:rsidRDefault="00683FFC" w:rsidP="00AB3882">
      <w:pPr>
        <w:ind w:left="360"/>
        <w:jc w:val="center"/>
        <w:rPr>
          <w:rFonts w:cs="Traditional Arabic"/>
          <w:b/>
          <w:bCs/>
        </w:rPr>
      </w:pPr>
    </w:p>
    <w:p w:rsidR="00AB3882" w:rsidRPr="00CF1F4A" w:rsidRDefault="00AB3882" w:rsidP="00AB3882">
      <w:pPr>
        <w:ind w:left="360"/>
        <w:jc w:val="center"/>
        <w:rPr>
          <w:rFonts w:cs="Traditional Arabic"/>
          <w:b/>
          <w:bCs/>
        </w:rPr>
      </w:pPr>
      <w:r w:rsidRPr="00CF1F4A">
        <w:rPr>
          <w:rFonts w:cs="Traditional Arabic"/>
          <w:b/>
          <w:bCs/>
        </w:rPr>
        <w:t>Gross Domestic Product (GDP) in Palestine at Constant Prices by Region</w:t>
      </w:r>
    </w:p>
    <w:p w:rsidR="00AB3882" w:rsidRPr="00CF1F4A" w:rsidRDefault="00AB3882" w:rsidP="00AB3882">
      <w:pPr>
        <w:ind w:left="360"/>
        <w:jc w:val="center"/>
        <w:rPr>
          <w:rFonts w:cs="Traditional Arabic"/>
          <w:b/>
          <w:bCs/>
        </w:rPr>
      </w:pPr>
      <w:r w:rsidRPr="00CF1F4A">
        <w:rPr>
          <w:rFonts w:cs="Traditional Arabic"/>
          <w:b/>
          <w:bCs/>
        </w:rPr>
        <w:t>(Value in USD Billion), 201</w:t>
      </w:r>
      <w:r w:rsidRPr="00CF1F4A">
        <w:rPr>
          <w:rFonts w:cs="Traditional Arabic" w:hint="cs"/>
          <w:b/>
          <w:bCs/>
          <w:rtl/>
        </w:rPr>
        <w:t>4</w:t>
      </w:r>
      <w:r w:rsidRPr="00CF1F4A">
        <w:rPr>
          <w:rFonts w:cs="Traditional Arabic"/>
          <w:b/>
          <w:bCs/>
        </w:rPr>
        <w:t>-201</w:t>
      </w:r>
      <w:r w:rsidRPr="00CF1F4A">
        <w:rPr>
          <w:rFonts w:cs="Traditional Arabic" w:hint="cs"/>
          <w:b/>
          <w:bCs/>
          <w:rtl/>
        </w:rPr>
        <w:t>6</w:t>
      </w:r>
    </w:p>
    <w:p w:rsidR="00AB3882" w:rsidRPr="00CF1F4A" w:rsidRDefault="00AB3882" w:rsidP="00AB3882">
      <w:pPr>
        <w:ind w:left="360"/>
        <w:jc w:val="center"/>
        <w:rPr>
          <w:rFonts w:cs="Traditional Arabic"/>
          <w:b/>
          <w:bCs/>
          <w:sz w:val="10"/>
          <w:szCs w:val="10"/>
        </w:rPr>
      </w:pPr>
    </w:p>
    <w:p w:rsidR="00AB3882" w:rsidRPr="00CF1F4A" w:rsidRDefault="00AB3882" w:rsidP="00AB3882">
      <w:pPr>
        <w:pStyle w:val="ListParagraph"/>
        <w:bidi w:val="0"/>
        <w:ind w:left="0"/>
        <w:jc w:val="center"/>
        <w:rPr>
          <w:rFonts w:cs="Traditional Arabic"/>
          <w:noProof w:val="0"/>
          <w:sz w:val="20"/>
        </w:rPr>
      </w:pPr>
      <w:r w:rsidRPr="00CF1F4A">
        <w:rPr>
          <w:rFonts w:cs="Traditional Arabic"/>
          <w:sz w:val="20"/>
        </w:rPr>
        <w:drawing>
          <wp:inline distT="0" distB="0" distL="0" distR="0">
            <wp:extent cx="4025900" cy="1765300"/>
            <wp:effectExtent l="19050" t="0" r="12700" b="6350"/>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D58E5" w:rsidRPr="00CF1F4A" w:rsidRDefault="005D58E5" w:rsidP="00683FFC">
      <w:pPr>
        <w:pStyle w:val="ListParagraph"/>
        <w:bidi w:val="0"/>
        <w:ind w:left="0"/>
        <w:jc w:val="lowKashida"/>
        <w:rPr>
          <w:rFonts w:cs="Times New Roman"/>
          <w:i/>
          <w:iCs/>
          <w:sz w:val="20"/>
          <w:u w:val="single"/>
        </w:rPr>
      </w:pPr>
      <w:r w:rsidRPr="00CF1F4A">
        <w:rPr>
          <w:rFonts w:cs="Times New Roman"/>
          <w:i/>
          <w:iCs/>
          <w:sz w:val="20"/>
          <w:u w:val="single"/>
        </w:rPr>
        <w:t xml:space="preserve">For more details on National Accounts, see the tables in chapter 1.14 of the Arabic section, pages </w:t>
      </w:r>
      <w:r w:rsidR="00683FFC" w:rsidRPr="00CF1F4A">
        <w:rPr>
          <w:rFonts w:cs="Times New Roman"/>
          <w:i/>
          <w:iCs/>
          <w:sz w:val="20"/>
          <w:u w:val="single"/>
        </w:rPr>
        <w:t>175</w:t>
      </w:r>
      <w:r w:rsidRPr="00CF1F4A">
        <w:rPr>
          <w:rFonts w:cs="Times New Roman"/>
          <w:i/>
          <w:iCs/>
          <w:sz w:val="20"/>
          <w:u w:val="single"/>
        </w:rPr>
        <w:t>-</w:t>
      </w:r>
      <w:r w:rsidR="00683FFC" w:rsidRPr="00CF1F4A">
        <w:rPr>
          <w:rFonts w:cs="Times New Roman"/>
          <w:i/>
          <w:iCs/>
          <w:sz w:val="20"/>
          <w:u w:val="single"/>
        </w:rPr>
        <w:t>182</w:t>
      </w:r>
      <w:r w:rsidRPr="00CF1F4A">
        <w:rPr>
          <w:rFonts w:cs="Times New Roman"/>
          <w:i/>
          <w:iCs/>
          <w:sz w:val="20"/>
          <w:u w:val="single"/>
        </w:rPr>
        <w:t>.</w:t>
      </w:r>
    </w:p>
    <w:p w:rsidR="00DE12F8" w:rsidRPr="00CF1F4A" w:rsidRDefault="00DE12F8" w:rsidP="00DE12F8">
      <w:pPr>
        <w:pStyle w:val="ListParagraph"/>
        <w:bidi w:val="0"/>
        <w:ind w:left="0"/>
        <w:jc w:val="lowKashida"/>
        <w:rPr>
          <w:rFonts w:cs="Times New Roman"/>
          <w:i/>
          <w:iCs/>
          <w:sz w:val="20"/>
          <w:u w:val="single"/>
        </w:rPr>
      </w:pPr>
    </w:p>
    <w:p w:rsidR="0007478A" w:rsidRPr="00CF1F4A" w:rsidRDefault="001F2744" w:rsidP="0007478A">
      <w:pPr>
        <w:pStyle w:val="Title"/>
        <w:numPr>
          <w:ilvl w:val="0"/>
          <w:numId w:val="2"/>
        </w:numPr>
        <w:bidi w:val="0"/>
        <w:ind w:left="98" w:hanging="308"/>
        <w:jc w:val="left"/>
        <w:rPr>
          <w:rFonts w:cs="Traditional Arabic"/>
          <w:sz w:val="20"/>
          <w:szCs w:val="20"/>
        </w:rPr>
      </w:pPr>
      <w:r w:rsidRPr="00CF1F4A">
        <w:rPr>
          <w:rFonts w:cs="Traditional Arabic"/>
          <w:sz w:val="20"/>
          <w:szCs w:val="20"/>
        </w:rPr>
        <w:t xml:space="preserve">Prices and Price Indices </w:t>
      </w:r>
    </w:p>
    <w:p w:rsidR="00D936B2" w:rsidRPr="00CF1F4A" w:rsidRDefault="00D936B2" w:rsidP="00D936B2">
      <w:pPr>
        <w:pStyle w:val="Title"/>
        <w:bidi w:val="0"/>
        <w:ind w:left="-210"/>
        <w:jc w:val="left"/>
        <w:rPr>
          <w:rFonts w:cs="Traditional Arabic"/>
          <w:sz w:val="20"/>
          <w:szCs w:val="20"/>
        </w:rPr>
      </w:pPr>
      <w:r w:rsidRPr="00CF1F4A">
        <w:rPr>
          <w:rFonts w:cs="Traditional Arabic"/>
          <w:sz w:val="20"/>
          <w:szCs w:val="20"/>
        </w:rPr>
        <w:t xml:space="preserve">15.1 Changes in Consumer Price Indices in 2016 compared with 2015: </w:t>
      </w:r>
    </w:p>
    <w:p w:rsidR="00D936B2" w:rsidRPr="00CF1F4A" w:rsidRDefault="00D936B2" w:rsidP="00D936B2">
      <w:pPr>
        <w:pStyle w:val="BodyText"/>
        <w:numPr>
          <w:ilvl w:val="0"/>
          <w:numId w:val="11"/>
        </w:numPr>
        <w:tabs>
          <w:tab w:val="num" w:pos="1211"/>
        </w:tabs>
        <w:overflowPunct/>
        <w:autoSpaceDE/>
        <w:adjustRightInd/>
        <w:ind w:left="142" w:hanging="142"/>
        <w:jc w:val="lowKashida"/>
        <w:textAlignment w:val="auto"/>
      </w:pPr>
      <w:r w:rsidRPr="00CF1F4A">
        <w:t>The Consumer Price Index in Palestine decreased by 0.22%.</w:t>
      </w:r>
    </w:p>
    <w:p w:rsidR="00D936B2" w:rsidRPr="00CF1F4A" w:rsidRDefault="00D936B2" w:rsidP="00D936B2">
      <w:pPr>
        <w:pStyle w:val="BodyText"/>
        <w:overflowPunct/>
        <w:autoSpaceDE/>
        <w:adjustRightInd/>
        <w:ind w:left="142"/>
        <w:jc w:val="lowKashida"/>
        <w:textAlignment w:val="auto"/>
        <w:rPr>
          <w:sz w:val="10"/>
          <w:szCs w:val="10"/>
        </w:rPr>
      </w:pPr>
    </w:p>
    <w:p w:rsidR="00D936B2" w:rsidRPr="00CF1F4A" w:rsidRDefault="00D936B2" w:rsidP="00216D7D">
      <w:pPr>
        <w:pStyle w:val="BodyText"/>
        <w:numPr>
          <w:ilvl w:val="0"/>
          <w:numId w:val="11"/>
        </w:numPr>
        <w:tabs>
          <w:tab w:val="num" w:pos="1211"/>
        </w:tabs>
        <w:overflowPunct/>
        <w:autoSpaceDE/>
        <w:adjustRightInd/>
        <w:ind w:left="142" w:hanging="142"/>
        <w:jc w:val="lowKashida"/>
        <w:textAlignment w:val="auto"/>
      </w:pPr>
      <w:r w:rsidRPr="00CF1F4A">
        <w:t>The Consumer Price Index in Jerusalem J1 decreased by 0.96%.</w:t>
      </w:r>
    </w:p>
    <w:p w:rsidR="00D936B2" w:rsidRPr="00CF1F4A" w:rsidRDefault="00D936B2" w:rsidP="00D936B2">
      <w:pPr>
        <w:pStyle w:val="BodyText"/>
        <w:overflowPunct/>
        <w:autoSpaceDE/>
        <w:adjustRightInd/>
        <w:jc w:val="lowKashida"/>
        <w:textAlignment w:val="auto"/>
        <w:rPr>
          <w:sz w:val="10"/>
          <w:szCs w:val="10"/>
        </w:rPr>
      </w:pPr>
    </w:p>
    <w:p w:rsidR="00D936B2" w:rsidRPr="00CF1F4A" w:rsidRDefault="00D936B2" w:rsidP="00D936B2">
      <w:pPr>
        <w:pStyle w:val="BodyText"/>
        <w:numPr>
          <w:ilvl w:val="0"/>
          <w:numId w:val="11"/>
        </w:numPr>
        <w:tabs>
          <w:tab w:val="num" w:pos="1211"/>
        </w:tabs>
        <w:overflowPunct/>
        <w:autoSpaceDE/>
        <w:adjustRightInd/>
        <w:ind w:left="142" w:hanging="142"/>
        <w:jc w:val="lowKashida"/>
        <w:textAlignment w:val="auto"/>
      </w:pPr>
      <w:r w:rsidRPr="00CF1F4A">
        <w:t>The Consumer Price Index in Gaza Strip decreased by 0.84%.</w:t>
      </w:r>
    </w:p>
    <w:p w:rsidR="00D936B2" w:rsidRPr="00CF1F4A" w:rsidRDefault="00D936B2" w:rsidP="00D936B2">
      <w:pPr>
        <w:pStyle w:val="BodyText"/>
        <w:overflowPunct/>
        <w:autoSpaceDE/>
        <w:adjustRightInd/>
        <w:jc w:val="lowKashida"/>
        <w:textAlignment w:val="auto"/>
        <w:rPr>
          <w:sz w:val="10"/>
          <w:szCs w:val="10"/>
        </w:rPr>
      </w:pPr>
    </w:p>
    <w:p w:rsidR="00D936B2" w:rsidRPr="00CF1F4A" w:rsidRDefault="00D936B2" w:rsidP="00216D7D">
      <w:pPr>
        <w:pStyle w:val="BodyText"/>
        <w:numPr>
          <w:ilvl w:val="0"/>
          <w:numId w:val="11"/>
        </w:numPr>
        <w:tabs>
          <w:tab w:val="num" w:pos="1211"/>
        </w:tabs>
        <w:overflowPunct/>
        <w:autoSpaceDE/>
        <w:adjustRightInd/>
        <w:ind w:left="142" w:hanging="142"/>
        <w:jc w:val="lowKashida"/>
        <w:textAlignment w:val="auto"/>
      </w:pPr>
      <w:r w:rsidRPr="00CF1F4A">
        <w:t>The Consumer Price Index in the West Bank slightly decreased by 0.08%.</w:t>
      </w:r>
    </w:p>
    <w:p w:rsidR="00D936B2" w:rsidRPr="00CF1F4A" w:rsidRDefault="00D936B2" w:rsidP="00D936B2">
      <w:pPr>
        <w:pStyle w:val="BodyText"/>
        <w:overflowPunct/>
        <w:autoSpaceDE/>
        <w:adjustRightInd/>
        <w:ind w:left="142"/>
        <w:jc w:val="lowKashida"/>
        <w:textAlignment w:val="auto"/>
        <w:rPr>
          <w:sz w:val="10"/>
          <w:szCs w:val="10"/>
        </w:rPr>
      </w:pPr>
    </w:p>
    <w:p w:rsidR="00D936B2" w:rsidRPr="00CF1F4A" w:rsidRDefault="00D936B2" w:rsidP="00D936B2">
      <w:pPr>
        <w:pStyle w:val="BodyText3"/>
        <w:ind w:left="360" w:right="720"/>
        <w:rPr>
          <w:b w:val="0"/>
          <w:bCs w:val="0"/>
          <w:sz w:val="10"/>
          <w:szCs w:val="10"/>
        </w:rPr>
      </w:pPr>
    </w:p>
    <w:p w:rsidR="00D936B2" w:rsidRPr="00CF1F4A" w:rsidRDefault="00D936B2" w:rsidP="00D936B2">
      <w:pPr>
        <w:pStyle w:val="BodyText3"/>
        <w:overflowPunct/>
        <w:autoSpaceDE/>
        <w:adjustRightInd/>
        <w:ind w:right="-1" w:hanging="210"/>
        <w:jc w:val="lowKashida"/>
      </w:pPr>
      <w:r w:rsidRPr="00CF1F4A">
        <w:t>15.2 Changes in Producer Price Indices in 2016 compared with 2015:</w:t>
      </w:r>
    </w:p>
    <w:p w:rsidR="00D936B2" w:rsidRPr="00CF1F4A" w:rsidRDefault="00D936B2" w:rsidP="00D936B2">
      <w:pPr>
        <w:pStyle w:val="BodyText"/>
        <w:numPr>
          <w:ilvl w:val="0"/>
          <w:numId w:val="11"/>
        </w:numPr>
        <w:tabs>
          <w:tab w:val="num" w:pos="1211"/>
        </w:tabs>
        <w:overflowPunct/>
        <w:autoSpaceDE/>
        <w:adjustRightInd/>
        <w:ind w:left="142" w:hanging="142"/>
        <w:jc w:val="lowKashida"/>
        <w:textAlignment w:val="auto"/>
      </w:pPr>
      <w:r w:rsidRPr="00CF1F4A">
        <w:t>The total Producer Price Index increased by 2.57%.</w:t>
      </w:r>
    </w:p>
    <w:p w:rsidR="00D936B2" w:rsidRPr="00CF1F4A" w:rsidRDefault="00D936B2" w:rsidP="00D936B2">
      <w:pPr>
        <w:pStyle w:val="BodyText"/>
        <w:overflowPunct/>
        <w:autoSpaceDE/>
        <w:adjustRightInd/>
        <w:ind w:left="142"/>
        <w:jc w:val="lowKashida"/>
        <w:textAlignment w:val="auto"/>
        <w:rPr>
          <w:sz w:val="10"/>
          <w:szCs w:val="10"/>
        </w:rPr>
      </w:pPr>
    </w:p>
    <w:p w:rsidR="00D936B2" w:rsidRPr="00CF1F4A" w:rsidRDefault="00D936B2" w:rsidP="00D936B2">
      <w:pPr>
        <w:pStyle w:val="BodyText"/>
        <w:numPr>
          <w:ilvl w:val="0"/>
          <w:numId w:val="11"/>
        </w:numPr>
        <w:tabs>
          <w:tab w:val="num" w:pos="1211"/>
        </w:tabs>
        <w:overflowPunct/>
        <w:autoSpaceDE/>
        <w:adjustRightInd/>
        <w:ind w:left="142" w:hanging="142"/>
        <w:jc w:val="lowKashida"/>
        <w:textAlignment w:val="auto"/>
      </w:pPr>
      <w:r w:rsidRPr="00CF1F4A">
        <w:t>The Producer Price Index for locally consumed products increased by 2.75%.</w:t>
      </w:r>
    </w:p>
    <w:p w:rsidR="00D936B2" w:rsidRPr="00CF1F4A" w:rsidRDefault="00D936B2" w:rsidP="00D936B2">
      <w:pPr>
        <w:pStyle w:val="BodyText"/>
        <w:overflowPunct/>
        <w:autoSpaceDE/>
        <w:adjustRightInd/>
        <w:ind w:left="142"/>
        <w:jc w:val="lowKashida"/>
        <w:textAlignment w:val="auto"/>
        <w:rPr>
          <w:sz w:val="10"/>
          <w:szCs w:val="10"/>
        </w:rPr>
      </w:pPr>
    </w:p>
    <w:p w:rsidR="00D936B2" w:rsidRPr="00CF1F4A" w:rsidRDefault="00D936B2" w:rsidP="00D936B2">
      <w:pPr>
        <w:pStyle w:val="BodyText"/>
        <w:numPr>
          <w:ilvl w:val="0"/>
          <w:numId w:val="11"/>
        </w:numPr>
        <w:tabs>
          <w:tab w:val="num" w:pos="1211"/>
        </w:tabs>
        <w:overflowPunct/>
        <w:autoSpaceDE/>
        <w:adjustRightInd/>
        <w:ind w:left="142" w:hanging="142"/>
        <w:jc w:val="lowKashida"/>
        <w:textAlignment w:val="auto"/>
      </w:pPr>
      <w:r w:rsidRPr="00CF1F4A">
        <w:t>The Producer Price Index for exported products increased by 1.12%.</w:t>
      </w:r>
    </w:p>
    <w:p w:rsidR="00D936B2" w:rsidRPr="00CF1F4A" w:rsidRDefault="00D936B2" w:rsidP="00D936B2">
      <w:pPr>
        <w:pStyle w:val="BodyText"/>
        <w:overflowPunct/>
        <w:autoSpaceDE/>
        <w:adjustRightInd/>
        <w:ind w:left="142"/>
        <w:jc w:val="lowKashida"/>
        <w:textAlignment w:val="auto"/>
        <w:rPr>
          <w:sz w:val="10"/>
          <w:szCs w:val="10"/>
        </w:rPr>
      </w:pPr>
    </w:p>
    <w:p w:rsidR="00D936B2" w:rsidRPr="00CF1F4A" w:rsidRDefault="00D936B2" w:rsidP="00D936B2">
      <w:pPr>
        <w:pStyle w:val="BodyText3"/>
        <w:overflowPunct/>
        <w:autoSpaceDE/>
        <w:adjustRightInd/>
        <w:ind w:right="-1" w:hanging="196"/>
        <w:jc w:val="lowKashida"/>
      </w:pPr>
      <w:r w:rsidRPr="00CF1F4A">
        <w:t>15.3 Changes in Wholesale Price Indices in 2016 compared with 2015:</w:t>
      </w:r>
    </w:p>
    <w:p w:rsidR="00D936B2" w:rsidRPr="00CF1F4A" w:rsidRDefault="00D936B2" w:rsidP="00D936B2">
      <w:pPr>
        <w:pStyle w:val="BodyText"/>
        <w:numPr>
          <w:ilvl w:val="0"/>
          <w:numId w:val="11"/>
        </w:numPr>
        <w:tabs>
          <w:tab w:val="num" w:pos="1211"/>
        </w:tabs>
        <w:overflowPunct/>
        <w:autoSpaceDE/>
        <w:adjustRightInd/>
        <w:ind w:left="142" w:hanging="142"/>
        <w:jc w:val="lowKashida"/>
        <w:textAlignment w:val="auto"/>
      </w:pPr>
      <w:r w:rsidRPr="00CF1F4A">
        <w:t>The total Wholesale Price Index increased by 1.62%.</w:t>
      </w:r>
    </w:p>
    <w:p w:rsidR="00D936B2" w:rsidRPr="00CF1F4A" w:rsidRDefault="00D936B2" w:rsidP="00D936B2">
      <w:pPr>
        <w:pStyle w:val="BodyText"/>
        <w:overflowPunct/>
        <w:autoSpaceDE/>
        <w:adjustRightInd/>
        <w:ind w:left="142"/>
        <w:jc w:val="lowKashida"/>
        <w:textAlignment w:val="auto"/>
        <w:rPr>
          <w:sz w:val="10"/>
          <w:szCs w:val="10"/>
        </w:rPr>
      </w:pPr>
    </w:p>
    <w:p w:rsidR="00D936B2" w:rsidRPr="00CF1F4A" w:rsidRDefault="00D936B2" w:rsidP="00D936B2">
      <w:pPr>
        <w:pStyle w:val="BodyText"/>
        <w:numPr>
          <w:ilvl w:val="0"/>
          <w:numId w:val="11"/>
        </w:numPr>
        <w:tabs>
          <w:tab w:val="num" w:pos="1211"/>
        </w:tabs>
        <w:overflowPunct/>
        <w:autoSpaceDE/>
        <w:adjustRightInd/>
        <w:ind w:left="142" w:hanging="142"/>
        <w:jc w:val="lowKashida"/>
        <w:textAlignment w:val="auto"/>
      </w:pPr>
      <w:r w:rsidRPr="00CF1F4A">
        <w:t>The Wholesale Price Index for local products increased by 2.67%.</w:t>
      </w:r>
    </w:p>
    <w:p w:rsidR="00D936B2" w:rsidRPr="00CF1F4A" w:rsidRDefault="00D936B2" w:rsidP="00D936B2">
      <w:pPr>
        <w:pStyle w:val="BodyText"/>
        <w:overflowPunct/>
        <w:autoSpaceDE/>
        <w:adjustRightInd/>
        <w:ind w:left="142"/>
        <w:jc w:val="lowKashida"/>
        <w:textAlignment w:val="auto"/>
        <w:rPr>
          <w:sz w:val="10"/>
          <w:szCs w:val="10"/>
        </w:rPr>
      </w:pPr>
    </w:p>
    <w:p w:rsidR="00D936B2" w:rsidRPr="00CF1F4A" w:rsidRDefault="00D936B2" w:rsidP="00D936B2">
      <w:pPr>
        <w:pStyle w:val="BodyText"/>
        <w:numPr>
          <w:ilvl w:val="0"/>
          <w:numId w:val="11"/>
        </w:numPr>
        <w:tabs>
          <w:tab w:val="num" w:pos="1211"/>
        </w:tabs>
        <w:overflowPunct/>
        <w:autoSpaceDE/>
        <w:adjustRightInd/>
        <w:ind w:left="142" w:hanging="142"/>
        <w:jc w:val="lowKashida"/>
        <w:textAlignment w:val="auto"/>
      </w:pPr>
      <w:r w:rsidRPr="00CF1F4A">
        <w:t>The Wholesale Price Index for imported products increased by 0.70%.</w:t>
      </w:r>
    </w:p>
    <w:p w:rsidR="008874A9" w:rsidRPr="00CF1F4A" w:rsidRDefault="00D936B2" w:rsidP="00860719">
      <w:pPr>
        <w:pStyle w:val="ListParagraph"/>
        <w:bidi w:val="0"/>
        <w:ind w:left="0"/>
        <w:jc w:val="lowKashida"/>
        <w:rPr>
          <w:rFonts w:cs="Times New Roman"/>
          <w:i/>
          <w:iCs/>
          <w:sz w:val="20"/>
          <w:u w:val="single"/>
        </w:rPr>
      </w:pPr>
      <w:r w:rsidRPr="00CF1F4A">
        <w:rPr>
          <w:rFonts w:cs="Times New Roman"/>
          <w:i/>
          <w:iCs/>
          <w:sz w:val="20"/>
          <w:u w:val="single"/>
        </w:rPr>
        <w:lastRenderedPageBreak/>
        <w:t>For more details on prices and price indices, see the tables in chapter 1.15 of the Arabic section, pages</w:t>
      </w:r>
      <w:r w:rsidRPr="00CF1F4A">
        <w:rPr>
          <w:rFonts w:cs="Times New Roman"/>
          <w:i/>
          <w:iCs/>
          <w:noProof w:val="0"/>
          <w:sz w:val="20"/>
          <w:u w:val="single"/>
          <w:rtl/>
        </w:rPr>
        <w:t xml:space="preserve"> </w:t>
      </w:r>
      <w:r w:rsidR="00860719" w:rsidRPr="00CF1F4A">
        <w:rPr>
          <w:rFonts w:cs="Times New Roman"/>
          <w:i/>
          <w:iCs/>
          <w:sz w:val="20"/>
          <w:u w:val="single"/>
        </w:rPr>
        <w:t>183</w:t>
      </w:r>
      <w:r w:rsidRPr="00CF1F4A">
        <w:rPr>
          <w:rFonts w:cs="Times New Roman"/>
          <w:i/>
          <w:iCs/>
          <w:sz w:val="20"/>
          <w:u w:val="single"/>
        </w:rPr>
        <w:t>-</w:t>
      </w:r>
      <w:r w:rsidR="00860719" w:rsidRPr="00CF1F4A">
        <w:rPr>
          <w:rFonts w:cs="Times New Roman"/>
          <w:i/>
          <w:iCs/>
          <w:sz w:val="20"/>
          <w:u w:val="single"/>
        </w:rPr>
        <w:t>194</w:t>
      </w:r>
      <w:r w:rsidR="00324085" w:rsidRPr="00CF1F4A">
        <w:rPr>
          <w:rFonts w:cs="Times New Roman"/>
          <w:i/>
          <w:iCs/>
          <w:sz w:val="20"/>
          <w:u w:val="single"/>
        </w:rPr>
        <w:t>.</w:t>
      </w:r>
    </w:p>
    <w:p w:rsidR="006064E5" w:rsidRPr="00CF1F4A" w:rsidRDefault="006064E5" w:rsidP="006064E5">
      <w:pPr>
        <w:pStyle w:val="ListParagraph"/>
        <w:bidi w:val="0"/>
        <w:ind w:left="0"/>
        <w:jc w:val="lowKashida"/>
        <w:rPr>
          <w:rFonts w:cs="Times New Roman"/>
          <w:i/>
          <w:iCs/>
          <w:sz w:val="20"/>
          <w:u w:val="single"/>
        </w:rPr>
      </w:pPr>
    </w:p>
    <w:p w:rsidR="006064E5" w:rsidRPr="00CF1F4A" w:rsidRDefault="006064E5" w:rsidP="006064E5">
      <w:pPr>
        <w:pStyle w:val="Title"/>
        <w:numPr>
          <w:ilvl w:val="0"/>
          <w:numId w:val="2"/>
        </w:numPr>
        <w:bidi w:val="0"/>
        <w:ind w:left="98" w:hanging="308"/>
        <w:jc w:val="left"/>
        <w:rPr>
          <w:rFonts w:cs="Traditional Arabic"/>
          <w:sz w:val="20"/>
          <w:szCs w:val="20"/>
        </w:rPr>
      </w:pPr>
      <w:r w:rsidRPr="00CF1F4A">
        <w:rPr>
          <w:rFonts w:cs="Traditional Arabic"/>
          <w:sz w:val="20"/>
          <w:szCs w:val="20"/>
        </w:rPr>
        <w:t>Construction</w:t>
      </w:r>
    </w:p>
    <w:p w:rsidR="006064E5" w:rsidRPr="00CF1F4A" w:rsidRDefault="006064E5" w:rsidP="00B0601E">
      <w:pPr>
        <w:pStyle w:val="Title"/>
        <w:bidi w:val="0"/>
        <w:ind w:left="-210"/>
        <w:jc w:val="left"/>
        <w:rPr>
          <w:rFonts w:cs="Times New Roman"/>
          <w:sz w:val="20"/>
          <w:szCs w:val="20"/>
        </w:rPr>
      </w:pPr>
      <w:r w:rsidRPr="00CF1F4A">
        <w:rPr>
          <w:rFonts w:cs="Times New Roman"/>
          <w:sz w:val="20"/>
          <w:szCs w:val="20"/>
        </w:rPr>
        <w:t>1</w:t>
      </w:r>
      <w:r w:rsidR="00B0601E" w:rsidRPr="00CF1F4A">
        <w:rPr>
          <w:rFonts w:cs="Times New Roman"/>
          <w:sz w:val="20"/>
          <w:szCs w:val="20"/>
        </w:rPr>
        <w:t>6</w:t>
      </w:r>
      <w:r w:rsidRPr="00CF1F4A">
        <w:rPr>
          <w:rFonts w:cs="Times New Roman"/>
          <w:sz w:val="20"/>
          <w:szCs w:val="20"/>
        </w:rPr>
        <w:t>.1 Enterprises in Operation</w:t>
      </w:r>
    </w:p>
    <w:p w:rsidR="006064E5" w:rsidRPr="00CF1F4A" w:rsidRDefault="006064E5" w:rsidP="006064E5">
      <w:pPr>
        <w:pStyle w:val="BodyText"/>
        <w:numPr>
          <w:ilvl w:val="0"/>
          <w:numId w:val="3"/>
        </w:numPr>
        <w:tabs>
          <w:tab w:val="num" w:pos="1211"/>
        </w:tabs>
        <w:overflowPunct/>
        <w:autoSpaceDE/>
        <w:autoSpaceDN/>
        <w:adjustRightInd/>
        <w:ind w:left="142" w:hanging="142"/>
        <w:jc w:val="lowKashida"/>
        <w:textAlignment w:val="auto"/>
        <w:rPr>
          <w:rFonts w:cs="Times New Roman"/>
        </w:rPr>
      </w:pPr>
      <w:r w:rsidRPr="00CF1F4A">
        <w:rPr>
          <w:rFonts w:cs="Times New Roman"/>
        </w:rPr>
        <w:t xml:space="preserve">There were </w:t>
      </w:r>
      <w:r w:rsidRPr="00CF1F4A">
        <w:rPr>
          <w:rFonts w:cs="Times New Roman"/>
          <w:rtl/>
        </w:rPr>
        <w:t>5</w:t>
      </w:r>
      <w:r w:rsidRPr="00CF1F4A">
        <w:rPr>
          <w:rFonts w:cs="Times New Roman"/>
        </w:rPr>
        <w:t>9</w:t>
      </w:r>
      <w:r w:rsidRPr="00CF1F4A">
        <w:rPr>
          <w:rFonts w:cs="Times New Roman"/>
          <w:rtl/>
        </w:rPr>
        <w:t>4</w:t>
      </w:r>
      <w:r w:rsidRPr="00CF1F4A">
        <w:rPr>
          <w:rFonts w:cs="Times New Roman"/>
        </w:rPr>
        <w:t xml:space="preserve"> enterprises engaged in this sector in Palestine in 2016.</w:t>
      </w:r>
    </w:p>
    <w:p w:rsidR="00DF5F9C" w:rsidRPr="00CF1F4A" w:rsidRDefault="00DF5F9C" w:rsidP="00DF5F9C">
      <w:pPr>
        <w:pStyle w:val="BodyText"/>
        <w:tabs>
          <w:tab w:val="num" w:pos="1211"/>
        </w:tabs>
        <w:overflowPunct/>
        <w:autoSpaceDE/>
        <w:autoSpaceDN/>
        <w:adjustRightInd/>
        <w:jc w:val="lowKashida"/>
        <w:textAlignment w:val="auto"/>
        <w:rPr>
          <w:rFonts w:cs="Times New Roman"/>
          <w:sz w:val="10"/>
          <w:szCs w:val="10"/>
        </w:rPr>
      </w:pPr>
    </w:p>
    <w:p w:rsidR="006064E5" w:rsidRPr="00CF1F4A" w:rsidRDefault="006064E5" w:rsidP="006064E5">
      <w:pPr>
        <w:pStyle w:val="BodyText"/>
        <w:numPr>
          <w:ilvl w:val="0"/>
          <w:numId w:val="3"/>
        </w:numPr>
        <w:tabs>
          <w:tab w:val="num" w:pos="1211"/>
        </w:tabs>
        <w:overflowPunct/>
        <w:autoSpaceDE/>
        <w:autoSpaceDN/>
        <w:adjustRightInd/>
        <w:ind w:left="142" w:hanging="142"/>
        <w:jc w:val="lowKashida"/>
        <w:textAlignment w:val="auto"/>
        <w:rPr>
          <w:rFonts w:cs="Times New Roman"/>
        </w:rPr>
      </w:pPr>
      <w:r w:rsidRPr="00CF1F4A">
        <w:rPr>
          <w:rFonts w:cs="Times New Roman"/>
        </w:rPr>
        <w:t>There were 11,316 individuals employed in this sector in 2016.</w:t>
      </w:r>
    </w:p>
    <w:p w:rsidR="00DF5F9C" w:rsidRPr="00CF1F4A" w:rsidRDefault="00DF5F9C" w:rsidP="00DF5F9C">
      <w:pPr>
        <w:pStyle w:val="BodyText"/>
        <w:tabs>
          <w:tab w:val="num" w:pos="1211"/>
        </w:tabs>
        <w:overflowPunct/>
        <w:autoSpaceDE/>
        <w:autoSpaceDN/>
        <w:adjustRightInd/>
        <w:jc w:val="lowKashida"/>
        <w:textAlignment w:val="auto"/>
        <w:rPr>
          <w:rFonts w:cs="Times New Roman"/>
          <w:sz w:val="10"/>
          <w:szCs w:val="10"/>
        </w:rPr>
      </w:pPr>
    </w:p>
    <w:p w:rsidR="006064E5" w:rsidRPr="00CF1F4A" w:rsidRDefault="006064E5" w:rsidP="001047EC">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 xml:space="preserve">The value of </w:t>
      </w:r>
      <w:r w:rsidR="001047EC" w:rsidRPr="00CF1F4A">
        <w:rPr>
          <w:rFonts w:cs="Times New Roman"/>
        </w:rPr>
        <w:t xml:space="preserve">the enterprises </w:t>
      </w:r>
      <w:r w:rsidRPr="00CF1F4A">
        <w:rPr>
          <w:rFonts w:cs="Times New Roman"/>
        </w:rPr>
        <w:t xml:space="preserve">output in the construction sector was USD 684.6 million; intermediate consumption totaled USD </w:t>
      </w:r>
      <w:r w:rsidRPr="00CF1F4A">
        <w:rPr>
          <w:rFonts w:cs="Times New Roman"/>
          <w:rtl/>
        </w:rPr>
        <w:t>381</w:t>
      </w:r>
      <w:r w:rsidRPr="00CF1F4A">
        <w:rPr>
          <w:rFonts w:cs="Times New Roman"/>
        </w:rPr>
        <w:t>.</w:t>
      </w:r>
      <w:r w:rsidRPr="00CF1F4A">
        <w:rPr>
          <w:rFonts w:cs="Times New Roman"/>
          <w:rtl/>
        </w:rPr>
        <w:t>5</w:t>
      </w:r>
      <w:r w:rsidRPr="00CF1F4A">
        <w:rPr>
          <w:rFonts w:cs="Times New Roman"/>
        </w:rPr>
        <w:t xml:space="preserve"> million; and the value added was USD 303.1  million in 2016.</w:t>
      </w:r>
    </w:p>
    <w:p w:rsidR="006064E5" w:rsidRPr="00CF1F4A" w:rsidRDefault="006064E5" w:rsidP="006064E5">
      <w:pPr>
        <w:pStyle w:val="BodyText"/>
        <w:overflowPunct/>
        <w:autoSpaceDE/>
        <w:adjustRightInd/>
        <w:ind w:left="142"/>
        <w:jc w:val="lowKashida"/>
        <w:textAlignment w:val="auto"/>
        <w:rPr>
          <w:sz w:val="10"/>
          <w:szCs w:val="10"/>
          <w:rtl/>
        </w:rPr>
      </w:pPr>
    </w:p>
    <w:p w:rsidR="006064E5" w:rsidRPr="00CF1F4A" w:rsidRDefault="006064E5" w:rsidP="00B0601E">
      <w:pPr>
        <w:pStyle w:val="Title"/>
        <w:bidi w:val="0"/>
        <w:ind w:left="-210"/>
        <w:jc w:val="left"/>
        <w:rPr>
          <w:rFonts w:cs="Traditional Arabic"/>
          <w:sz w:val="20"/>
          <w:szCs w:val="20"/>
        </w:rPr>
      </w:pPr>
      <w:r w:rsidRPr="00CF1F4A">
        <w:rPr>
          <w:rFonts w:cs="Traditional Arabic"/>
          <w:sz w:val="20"/>
          <w:szCs w:val="20"/>
        </w:rPr>
        <w:t>1</w:t>
      </w:r>
      <w:r w:rsidR="00B0601E" w:rsidRPr="00CF1F4A">
        <w:rPr>
          <w:rFonts w:cs="Traditional Arabic"/>
          <w:sz w:val="20"/>
          <w:szCs w:val="20"/>
        </w:rPr>
        <w:t>6</w:t>
      </w:r>
      <w:r w:rsidRPr="00CF1F4A">
        <w:rPr>
          <w:rFonts w:cs="Traditional Arabic"/>
          <w:sz w:val="20"/>
          <w:szCs w:val="20"/>
        </w:rPr>
        <w:t>.2 Building Licenses</w:t>
      </w:r>
    </w:p>
    <w:p w:rsidR="006064E5" w:rsidRPr="00CF1F4A" w:rsidRDefault="006064E5" w:rsidP="006064E5">
      <w:pPr>
        <w:pStyle w:val="BodyText"/>
        <w:numPr>
          <w:ilvl w:val="0"/>
          <w:numId w:val="3"/>
        </w:numPr>
        <w:overflowPunct/>
        <w:autoSpaceDE/>
        <w:autoSpaceDN/>
        <w:adjustRightInd/>
        <w:ind w:left="142" w:hanging="142"/>
        <w:jc w:val="lowKashida"/>
        <w:textAlignment w:val="auto"/>
      </w:pPr>
      <w:r w:rsidRPr="00CF1F4A">
        <w:t xml:space="preserve">The total number of building licenses issued in 2016 increased by 15.4%  and the new units increased by 18.2% compared with </w:t>
      </w:r>
      <w:bookmarkStart w:id="0" w:name="OLE_LINK12"/>
      <w:r w:rsidRPr="00CF1F4A">
        <w:t xml:space="preserve">2015. </w:t>
      </w:r>
      <w:bookmarkEnd w:id="0"/>
    </w:p>
    <w:p w:rsidR="006064E5" w:rsidRPr="00CF1F4A" w:rsidRDefault="006064E5" w:rsidP="00DF5F9C">
      <w:pPr>
        <w:pStyle w:val="ListParagraph"/>
        <w:bidi w:val="0"/>
        <w:ind w:left="0"/>
        <w:jc w:val="lowKashida"/>
        <w:rPr>
          <w:rFonts w:cs="Times New Roman"/>
          <w:i/>
          <w:iCs/>
          <w:sz w:val="20"/>
          <w:u w:val="single"/>
        </w:rPr>
      </w:pPr>
      <w:r w:rsidRPr="00CF1F4A">
        <w:rPr>
          <w:rFonts w:cs="Times New Roman"/>
          <w:i/>
          <w:iCs/>
          <w:sz w:val="20"/>
          <w:u w:val="single"/>
        </w:rPr>
        <w:t>For more detail on construction, see the tables in chapter 1.</w:t>
      </w:r>
      <w:r w:rsidR="00DF5F9C" w:rsidRPr="00CF1F4A">
        <w:rPr>
          <w:rFonts w:cs="Times New Roman"/>
          <w:i/>
          <w:iCs/>
          <w:sz w:val="20"/>
          <w:u w:val="single"/>
        </w:rPr>
        <w:t xml:space="preserve">16 </w:t>
      </w:r>
      <w:r w:rsidRPr="00CF1F4A">
        <w:rPr>
          <w:rFonts w:cs="Times New Roman"/>
          <w:i/>
          <w:iCs/>
          <w:sz w:val="20"/>
          <w:u w:val="single"/>
        </w:rPr>
        <w:t>of the Arabic section, pages</w:t>
      </w:r>
      <w:r w:rsidRPr="00CF1F4A">
        <w:rPr>
          <w:rFonts w:cs="Times New Roman"/>
          <w:i/>
          <w:iCs/>
          <w:noProof w:val="0"/>
          <w:sz w:val="20"/>
          <w:u w:val="single"/>
          <w:rtl/>
        </w:rPr>
        <w:t xml:space="preserve"> </w:t>
      </w:r>
      <w:r w:rsidRPr="00CF1F4A">
        <w:rPr>
          <w:rFonts w:cs="Times New Roman"/>
          <w:i/>
          <w:iCs/>
          <w:sz w:val="20"/>
          <w:u w:val="single"/>
        </w:rPr>
        <w:t>195-202.</w:t>
      </w:r>
    </w:p>
    <w:p w:rsidR="006064E5" w:rsidRPr="00CF1F4A" w:rsidRDefault="006064E5" w:rsidP="006064E5">
      <w:pPr>
        <w:pStyle w:val="BodyText"/>
        <w:overflowPunct/>
        <w:autoSpaceDE/>
        <w:adjustRightInd/>
        <w:ind w:left="142"/>
        <w:jc w:val="lowKashida"/>
        <w:textAlignment w:val="auto"/>
        <w:rPr>
          <w:sz w:val="10"/>
          <w:szCs w:val="10"/>
        </w:rPr>
      </w:pPr>
    </w:p>
    <w:p w:rsidR="006064E5" w:rsidRPr="00CF1F4A" w:rsidRDefault="006064E5" w:rsidP="006064E5">
      <w:pPr>
        <w:pStyle w:val="BodyText"/>
        <w:overflowPunct/>
        <w:autoSpaceDE/>
        <w:adjustRightInd/>
        <w:ind w:left="142"/>
        <w:jc w:val="lowKashida"/>
        <w:textAlignment w:val="auto"/>
        <w:rPr>
          <w:sz w:val="10"/>
          <w:szCs w:val="10"/>
        </w:rPr>
      </w:pPr>
    </w:p>
    <w:p w:rsidR="006064E5" w:rsidRPr="00CF1F4A" w:rsidRDefault="006064E5" w:rsidP="006064E5">
      <w:pPr>
        <w:pStyle w:val="Title"/>
        <w:numPr>
          <w:ilvl w:val="0"/>
          <w:numId w:val="2"/>
        </w:numPr>
        <w:bidi w:val="0"/>
        <w:ind w:left="98" w:hanging="308"/>
        <w:jc w:val="left"/>
        <w:rPr>
          <w:rFonts w:cs="Traditional Arabic"/>
          <w:sz w:val="20"/>
          <w:szCs w:val="20"/>
        </w:rPr>
      </w:pPr>
      <w:r w:rsidRPr="00CF1F4A">
        <w:rPr>
          <w:rFonts w:cs="Traditional Arabic"/>
          <w:sz w:val="20"/>
          <w:szCs w:val="20"/>
        </w:rPr>
        <w:t xml:space="preserve">Industry                              </w:t>
      </w:r>
    </w:p>
    <w:p w:rsidR="006064E5" w:rsidRPr="00CF1F4A" w:rsidRDefault="006064E5" w:rsidP="006064E5">
      <w:pPr>
        <w:pStyle w:val="BodyText"/>
        <w:numPr>
          <w:ilvl w:val="0"/>
          <w:numId w:val="3"/>
        </w:numPr>
        <w:overflowPunct/>
        <w:autoSpaceDE/>
        <w:autoSpaceDN/>
        <w:adjustRightInd/>
        <w:ind w:left="142" w:hanging="142"/>
        <w:jc w:val="lowKashida"/>
        <w:textAlignment w:val="auto"/>
      </w:pPr>
      <w:r w:rsidRPr="00CF1F4A">
        <w:t>There were 19,367</w:t>
      </w:r>
      <w:r w:rsidR="001047EC" w:rsidRPr="00CF1F4A">
        <w:t xml:space="preserve"> </w:t>
      </w:r>
      <w:r w:rsidRPr="00CF1F4A">
        <w:t>enterprises engaged in this sector in Palestine in 2016.</w:t>
      </w:r>
    </w:p>
    <w:p w:rsidR="00AB3882" w:rsidRPr="00CF1F4A" w:rsidRDefault="00AB3882" w:rsidP="006064E5">
      <w:pPr>
        <w:pStyle w:val="BodyText"/>
        <w:overflowPunct/>
        <w:autoSpaceDE/>
        <w:adjustRightInd/>
        <w:ind w:left="142"/>
        <w:jc w:val="lowKashida"/>
        <w:textAlignment w:val="auto"/>
        <w:rPr>
          <w:sz w:val="10"/>
          <w:szCs w:val="10"/>
        </w:rPr>
      </w:pPr>
    </w:p>
    <w:p w:rsidR="006064E5" w:rsidRPr="00CF1F4A" w:rsidRDefault="006064E5" w:rsidP="006064E5">
      <w:pPr>
        <w:pStyle w:val="BodyText"/>
        <w:overflowPunct/>
        <w:autoSpaceDE/>
        <w:adjustRightInd/>
        <w:ind w:left="142"/>
        <w:jc w:val="lowKashida"/>
        <w:textAlignment w:val="auto"/>
        <w:rPr>
          <w:sz w:val="6"/>
          <w:szCs w:val="6"/>
        </w:rPr>
      </w:pPr>
      <w:r w:rsidRPr="00CF1F4A">
        <w:rPr>
          <w:sz w:val="10"/>
          <w:szCs w:val="10"/>
        </w:rPr>
        <w:t xml:space="preserve"> </w:t>
      </w:r>
    </w:p>
    <w:p w:rsidR="006064E5" w:rsidRPr="00CF1F4A" w:rsidRDefault="006064E5" w:rsidP="006064E5">
      <w:pPr>
        <w:jc w:val="center"/>
        <w:rPr>
          <w:b/>
          <w:bCs/>
          <w:sz w:val="18"/>
          <w:szCs w:val="18"/>
        </w:rPr>
      </w:pPr>
      <w:r w:rsidRPr="00CF1F4A">
        <w:rPr>
          <w:b/>
          <w:bCs/>
          <w:sz w:val="18"/>
          <w:szCs w:val="18"/>
        </w:rPr>
        <w:t>Main Economic Indicators for Industrial Activities, 2014-2016</w:t>
      </w:r>
    </w:p>
    <w:p w:rsidR="00B920B9" w:rsidRPr="00CF1F4A" w:rsidRDefault="00B920B9" w:rsidP="006064E5">
      <w:pPr>
        <w:jc w:val="center"/>
        <w:rPr>
          <w:b/>
          <w:bCs/>
          <w:sz w:val="10"/>
          <w:szCs w:val="10"/>
          <w:rtl/>
        </w:rPr>
      </w:pPr>
    </w:p>
    <w:p w:rsidR="006064E5" w:rsidRPr="00CF1F4A" w:rsidRDefault="006064E5" w:rsidP="00B920B9">
      <w:pPr>
        <w:pStyle w:val="ListParagraph"/>
        <w:bidi w:val="0"/>
        <w:ind w:left="0"/>
        <w:jc w:val="center"/>
        <w:rPr>
          <w:rFonts w:ascii="Arial" w:hAnsi="Arial"/>
          <w:b/>
          <w:bCs/>
          <w:sz w:val="16"/>
          <w:szCs w:val="16"/>
          <w:rtl/>
        </w:rPr>
      </w:pPr>
      <w:r w:rsidRPr="00CF1F4A">
        <w:rPr>
          <w:bdr w:val="single" w:sz="4" w:space="0" w:color="auto" w:frame="1"/>
        </w:rPr>
        <w:drawing>
          <wp:inline distT="0" distB="0" distL="0" distR="0">
            <wp:extent cx="4010025" cy="1571625"/>
            <wp:effectExtent l="0" t="0" r="0" b="0"/>
            <wp:docPr id="2"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064E5" w:rsidRPr="00CF1F4A" w:rsidRDefault="006064E5" w:rsidP="006064E5">
      <w:pPr>
        <w:pStyle w:val="BodyText"/>
        <w:overflowPunct/>
        <w:autoSpaceDE/>
        <w:adjustRightInd/>
        <w:ind w:left="142"/>
        <w:jc w:val="lowKashida"/>
        <w:textAlignment w:val="auto"/>
        <w:rPr>
          <w:sz w:val="10"/>
          <w:szCs w:val="10"/>
        </w:rPr>
      </w:pPr>
    </w:p>
    <w:p w:rsidR="006064E5" w:rsidRPr="00CF1F4A" w:rsidRDefault="006064E5" w:rsidP="006064E5">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There were 98,776 employed persons in this sector in 2016.</w:t>
      </w:r>
    </w:p>
    <w:p w:rsidR="006064E5" w:rsidRPr="00CF1F4A" w:rsidRDefault="006064E5" w:rsidP="006064E5">
      <w:pPr>
        <w:pStyle w:val="BodyText"/>
        <w:overflowPunct/>
        <w:autoSpaceDE/>
        <w:adjustRightInd/>
        <w:ind w:left="142"/>
        <w:jc w:val="lowKashida"/>
        <w:textAlignment w:val="auto"/>
        <w:rPr>
          <w:rFonts w:cs="Times New Roman"/>
          <w:sz w:val="10"/>
          <w:szCs w:val="10"/>
        </w:rPr>
      </w:pPr>
    </w:p>
    <w:p w:rsidR="006064E5" w:rsidRPr="00CF1F4A" w:rsidRDefault="006064E5" w:rsidP="001047EC">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 xml:space="preserve">The value of </w:t>
      </w:r>
      <w:r w:rsidR="001047EC" w:rsidRPr="00CF1F4A">
        <w:rPr>
          <w:rFonts w:cs="Times New Roman"/>
        </w:rPr>
        <w:t xml:space="preserve">the enterprises </w:t>
      </w:r>
      <w:r w:rsidRPr="00CF1F4A">
        <w:rPr>
          <w:rFonts w:cs="Times New Roman"/>
        </w:rPr>
        <w:t>output in industrial activities was USD 4,191.8 million, intermediate consumption totaled USD 2,415.1 million, and the value added was USD 1,776.7 million in 2016.</w:t>
      </w:r>
    </w:p>
    <w:p w:rsidR="006064E5" w:rsidRPr="00CF1F4A" w:rsidRDefault="006064E5" w:rsidP="006304DF">
      <w:pPr>
        <w:pStyle w:val="ListParagraph"/>
        <w:bidi w:val="0"/>
        <w:ind w:left="0"/>
        <w:jc w:val="lowKashida"/>
        <w:rPr>
          <w:rFonts w:cs="Times New Roman"/>
          <w:i/>
          <w:iCs/>
          <w:sz w:val="20"/>
          <w:u w:val="single"/>
        </w:rPr>
      </w:pPr>
      <w:r w:rsidRPr="00CF1F4A">
        <w:rPr>
          <w:rFonts w:cs="Times New Roman"/>
          <w:i/>
          <w:iCs/>
          <w:sz w:val="20"/>
          <w:u w:val="single"/>
        </w:rPr>
        <w:t>For more details on industry, see the tables in chapter 1.</w:t>
      </w:r>
      <w:r w:rsidR="006304DF" w:rsidRPr="00CF1F4A">
        <w:rPr>
          <w:rFonts w:cs="Times New Roman"/>
          <w:i/>
          <w:iCs/>
          <w:sz w:val="20"/>
          <w:u w:val="single"/>
        </w:rPr>
        <w:t>17</w:t>
      </w:r>
      <w:r w:rsidRPr="00CF1F4A">
        <w:rPr>
          <w:rFonts w:cs="Times New Roman"/>
          <w:i/>
          <w:iCs/>
          <w:sz w:val="20"/>
          <w:u w:val="single"/>
        </w:rPr>
        <w:t xml:space="preserve"> of the Arabic section, pages </w:t>
      </w:r>
      <w:r w:rsidRPr="00CF1F4A">
        <w:rPr>
          <w:rFonts w:cs="Times New Roman" w:hint="cs"/>
          <w:i/>
          <w:iCs/>
          <w:noProof w:val="0"/>
          <w:sz w:val="20"/>
          <w:u w:val="single"/>
          <w:rtl/>
        </w:rPr>
        <w:t>203</w:t>
      </w:r>
      <w:r w:rsidRPr="00CF1F4A">
        <w:rPr>
          <w:rFonts w:cs="Times New Roman"/>
          <w:i/>
          <w:iCs/>
          <w:sz w:val="20"/>
          <w:u w:val="single"/>
        </w:rPr>
        <w:t>-</w:t>
      </w:r>
      <w:r w:rsidRPr="00CF1F4A">
        <w:rPr>
          <w:rFonts w:cs="Times New Roman" w:hint="cs"/>
          <w:i/>
          <w:iCs/>
          <w:noProof w:val="0"/>
          <w:sz w:val="20"/>
          <w:u w:val="single"/>
          <w:rtl/>
        </w:rPr>
        <w:t>206</w:t>
      </w:r>
      <w:r w:rsidRPr="00CF1F4A">
        <w:rPr>
          <w:rFonts w:cs="Times New Roman"/>
          <w:i/>
          <w:iCs/>
          <w:sz w:val="20"/>
          <w:u w:val="single"/>
        </w:rPr>
        <w:t>.</w:t>
      </w:r>
    </w:p>
    <w:p w:rsidR="006064E5" w:rsidRPr="00CF1F4A" w:rsidRDefault="006064E5" w:rsidP="006064E5">
      <w:pPr>
        <w:pStyle w:val="ListParagraph"/>
        <w:bidi w:val="0"/>
        <w:ind w:left="0"/>
        <w:jc w:val="lowKashida"/>
        <w:rPr>
          <w:rFonts w:cs="Times New Roman"/>
          <w:i/>
          <w:iCs/>
          <w:sz w:val="20"/>
          <w:u w:val="single"/>
        </w:rPr>
      </w:pPr>
    </w:p>
    <w:p w:rsidR="001804B8" w:rsidRPr="00CF1F4A" w:rsidRDefault="001804B8" w:rsidP="001804B8">
      <w:pPr>
        <w:pStyle w:val="Title"/>
        <w:numPr>
          <w:ilvl w:val="0"/>
          <w:numId w:val="2"/>
        </w:numPr>
        <w:bidi w:val="0"/>
        <w:ind w:left="98" w:hanging="308"/>
        <w:jc w:val="left"/>
        <w:rPr>
          <w:rFonts w:cs="Times New Roman"/>
          <w:sz w:val="20"/>
          <w:szCs w:val="20"/>
        </w:rPr>
      </w:pPr>
      <w:r w:rsidRPr="00CF1F4A">
        <w:rPr>
          <w:rFonts w:cs="Times New Roman"/>
          <w:sz w:val="20"/>
          <w:szCs w:val="20"/>
        </w:rPr>
        <w:t>Transport and Commuincation</w:t>
      </w:r>
    </w:p>
    <w:p w:rsidR="001F2744" w:rsidRPr="00CF1F4A" w:rsidRDefault="001804B8" w:rsidP="00B0601E">
      <w:pPr>
        <w:overflowPunct/>
        <w:autoSpaceDE/>
        <w:autoSpaceDN/>
        <w:adjustRightInd/>
        <w:ind w:right="-284" w:hanging="210"/>
        <w:textAlignment w:val="auto"/>
        <w:rPr>
          <w:b/>
          <w:bCs/>
        </w:rPr>
      </w:pPr>
      <w:r w:rsidRPr="00CF1F4A">
        <w:rPr>
          <w:b/>
          <w:bCs/>
        </w:rPr>
        <w:t>1</w:t>
      </w:r>
      <w:r w:rsidR="00B0601E" w:rsidRPr="00CF1F4A">
        <w:rPr>
          <w:b/>
          <w:bCs/>
        </w:rPr>
        <w:t>8</w:t>
      </w:r>
      <w:r w:rsidRPr="00CF1F4A">
        <w:rPr>
          <w:b/>
          <w:bCs/>
        </w:rPr>
        <w:t>.1</w:t>
      </w:r>
      <w:r w:rsidR="001C6EBE" w:rsidRPr="00CF1F4A">
        <w:rPr>
          <w:b/>
          <w:bCs/>
        </w:rPr>
        <w:t xml:space="preserve"> </w:t>
      </w:r>
      <w:r w:rsidR="001F2744" w:rsidRPr="00CF1F4A">
        <w:rPr>
          <w:b/>
          <w:bCs/>
        </w:rPr>
        <w:t xml:space="preserve">Transport and </w:t>
      </w:r>
      <w:r w:rsidR="001C6EBE" w:rsidRPr="00CF1F4A">
        <w:rPr>
          <w:b/>
          <w:bCs/>
        </w:rPr>
        <w:t>Storage</w:t>
      </w:r>
      <w:r w:rsidR="001F2744" w:rsidRPr="00CF1F4A">
        <w:rPr>
          <w:b/>
          <w:bCs/>
        </w:rPr>
        <w:t xml:space="preserve">                               </w:t>
      </w:r>
    </w:p>
    <w:p w:rsidR="00FE0777" w:rsidRPr="00CF1F4A" w:rsidRDefault="00FE0777" w:rsidP="00FE0777">
      <w:pPr>
        <w:pStyle w:val="BodyText"/>
        <w:numPr>
          <w:ilvl w:val="0"/>
          <w:numId w:val="11"/>
        </w:numPr>
        <w:tabs>
          <w:tab w:val="num" w:pos="1211"/>
        </w:tabs>
        <w:overflowPunct/>
        <w:autoSpaceDE/>
        <w:adjustRightInd/>
        <w:ind w:left="142" w:hanging="142"/>
        <w:jc w:val="lowKashida"/>
        <w:textAlignment w:val="auto"/>
        <w:rPr>
          <w:rFonts w:cs="Times New Roman"/>
        </w:rPr>
      </w:pPr>
      <w:r w:rsidRPr="00CF1F4A">
        <w:rPr>
          <w:rFonts w:cs="Times New Roman"/>
        </w:rPr>
        <w:t>There were 1,123 enterprises engaged in this sector in Palestine in 2016.</w:t>
      </w:r>
    </w:p>
    <w:p w:rsidR="00FE0777" w:rsidRPr="00CF1F4A" w:rsidRDefault="00FE0777" w:rsidP="00FE0777">
      <w:pPr>
        <w:pStyle w:val="BodyText"/>
        <w:overflowPunct/>
        <w:autoSpaceDE/>
        <w:adjustRightInd/>
        <w:ind w:left="142"/>
        <w:jc w:val="lowKashida"/>
        <w:textAlignment w:val="auto"/>
        <w:rPr>
          <w:rFonts w:cs="Times New Roman"/>
          <w:sz w:val="10"/>
          <w:szCs w:val="10"/>
        </w:rPr>
      </w:pPr>
      <w:r w:rsidRPr="00CF1F4A">
        <w:rPr>
          <w:rFonts w:cs="Times New Roman"/>
          <w:sz w:val="10"/>
          <w:szCs w:val="10"/>
        </w:rPr>
        <w:t xml:space="preserve"> </w:t>
      </w:r>
    </w:p>
    <w:p w:rsidR="00FE0777" w:rsidRPr="00CF1F4A" w:rsidRDefault="00FE0777" w:rsidP="00FE0777">
      <w:pPr>
        <w:pStyle w:val="BodyText"/>
        <w:numPr>
          <w:ilvl w:val="0"/>
          <w:numId w:val="11"/>
        </w:numPr>
        <w:tabs>
          <w:tab w:val="num" w:pos="1211"/>
        </w:tabs>
        <w:overflowPunct/>
        <w:autoSpaceDE/>
        <w:adjustRightInd/>
        <w:ind w:left="142" w:hanging="142"/>
        <w:jc w:val="lowKashida"/>
        <w:textAlignment w:val="auto"/>
        <w:rPr>
          <w:rFonts w:cs="Times New Roman"/>
        </w:rPr>
      </w:pPr>
      <w:r w:rsidRPr="00CF1F4A">
        <w:rPr>
          <w:rFonts w:cs="Times New Roman"/>
        </w:rPr>
        <w:t>There were 7,614</w:t>
      </w:r>
      <w:r w:rsidRPr="00CF1F4A">
        <w:rPr>
          <w:rFonts w:cs="Times New Roman"/>
          <w:rtl/>
        </w:rPr>
        <w:t xml:space="preserve"> </w:t>
      </w:r>
      <w:r w:rsidRPr="00CF1F4A">
        <w:rPr>
          <w:rFonts w:cs="Times New Roman"/>
        </w:rPr>
        <w:t xml:space="preserve">individuals employed in this sector in </w:t>
      </w:r>
      <w:r w:rsidRPr="00CF1F4A">
        <w:rPr>
          <w:rFonts w:cs="Times New Roman"/>
          <w:rtl/>
        </w:rPr>
        <w:t>2016</w:t>
      </w:r>
      <w:r w:rsidRPr="00CF1F4A">
        <w:rPr>
          <w:rFonts w:cs="Times New Roman"/>
        </w:rPr>
        <w:t>.</w:t>
      </w:r>
    </w:p>
    <w:p w:rsidR="00FE0777" w:rsidRPr="00CF1F4A" w:rsidRDefault="00FE0777" w:rsidP="00FE0777">
      <w:pPr>
        <w:pStyle w:val="BodyText"/>
        <w:overflowPunct/>
        <w:autoSpaceDE/>
        <w:adjustRightInd/>
        <w:ind w:left="142"/>
        <w:jc w:val="lowKashida"/>
        <w:textAlignment w:val="auto"/>
        <w:rPr>
          <w:sz w:val="10"/>
          <w:szCs w:val="10"/>
        </w:rPr>
      </w:pPr>
      <w:r w:rsidRPr="00CF1F4A">
        <w:rPr>
          <w:sz w:val="10"/>
          <w:szCs w:val="10"/>
        </w:rPr>
        <w:t xml:space="preserve"> </w:t>
      </w:r>
    </w:p>
    <w:p w:rsidR="00FE0777" w:rsidRPr="00CF1F4A" w:rsidRDefault="00FE0777" w:rsidP="001047EC">
      <w:pPr>
        <w:pStyle w:val="BodyText"/>
        <w:numPr>
          <w:ilvl w:val="0"/>
          <w:numId w:val="11"/>
        </w:numPr>
        <w:tabs>
          <w:tab w:val="num" w:pos="1211"/>
        </w:tabs>
        <w:overflowPunct/>
        <w:autoSpaceDE/>
        <w:adjustRightInd/>
        <w:ind w:left="142" w:hanging="142"/>
        <w:jc w:val="lowKashida"/>
        <w:textAlignment w:val="auto"/>
        <w:rPr>
          <w:rFonts w:cs="Times New Roman"/>
        </w:rPr>
      </w:pPr>
      <w:r w:rsidRPr="00CF1F4A">
        <w:rPr>
          <w:rFonts w:cs="Times New Roman"/>
        </w:rPr>
        <w:lastRenderedPageBreak/>
        <w:t xml:space="preserve">The value of </w:t>
      </w:r>
      <w:r w:rsidR="001047EC" w:rsidRPr="00CF1F4A">
        <w:rPr>
          <w:rFonts w:cs="Times New Roman"/>
        </w:rPr>
        <w:t xml:space="preserve">the enterprises </w:t>
      </w:r>
      <w:r w:rsidRPr="00CF1F4A">
        <w:rPr>
          <w:rFonts w:cs="Times New Roman"/>
        </w:rPr>
        <w:t xml:space="preserve">output in transport and storage activities was USD </w:t>
      </w:r>
      <w:r w:rsidRPr="00CF1F4A">
        <w:rPr>
          <w:rFonts w:cs="Times New Roman"/>
          <w:rtl/>
        </w:rPr>
        <w:t>1</w:t>
      </w:r>
      <w:r w:rsidRPr="00CF1F4A">
        <w:rPr>
          <w:rFonts w:cs="Times New Roman"/>
        </w:rPr>
        <w:t>88</w:t>
      </w:r>
      <w:r w:rsidRPr="00CF1F4A">
        <w:rPr>
          <w:rFonts w:cs="Times New Roman"/>
          <w:rtl/>
        </w:rPr>
        <w:t>.</w:t>
      </w:r>
      <w:r w:rsidRPr="00CF1F4A">
        <w:rPr>
          <w:rFonts w:cs="Times New Roman"/>
        </w:rPr>
        <w:t>1 million; intermediate consumption was USD 86</w:t>
      </w:r>
      <w:r w:rsidRPr="00CF1F4A">
        <w:rPr>
          <w:rFonts w:cs="Times New Roman"/>
          <w:rtl/>
        </w:rPr>
        <w:t>.</w:t>
      </w:r>
      <w:r w:rsidRPr="00CF1F4A">
        <w:rPr>
          <w:rFonts w:cs="Times New Roman"/>
        </w:rPr>
        <w:t>7 million; and the value added was USD 101.4 million in 2016.</w:t>
      </w:r>
    </w:p>
    <w:p w:rsidR="00AB3882" w:rsidRPr="00CF1F4A" w:rsidRDefault="00AB3882" w:rsidP="004402D8">
      <w:pPr>
        <w:pStyle w:val="BodyText"/>
        <w:overflowPunct/>
        <w:autoSpaceDE/>
        <w:adjustRightInd/>
        <w:ind w:left="142"/>
        <w:jc w:val="lowKashida"/>
        <w:textAlignment w:val="auto"/>
        <w:rPr>
          <w:sz w:val="10"/>
          <w:szCs w:val="10"/>
          <w:rtl/>
        </w:rPr>
      </w:pPr>
    </w:p>
    <w:p w:rsidR="00275B40" w:rsidRPr="00CF1F4A" w:rsidRDefault="00275B40" w:rsidP="00B0601E">
      <w:pPr>
        <w:overflowPunct/>
        <w:autoSpaceDE/>
        <w:autoSpaceDN/>
        <w:adjustRightInd/>
        <w:ind w:right="-284" w:hanging="210"/>
        <w:textAlignment w:val="auto"/>
        <w:rPr>
          <w:b/>
          <w:bCs/>
        </w:rPr>
      </w:pPr>
      <w:r w:rsidRPr="00CF1F4A">
        <w:rPr>
          <w:b/>
          <w:bCs/>
        </w:rPr>
        <w:t>1</w:t>
      </w:r>
      <w:r w:rsidR="00B0601E" w:rsidRPr="00CF1F4A">
        <w:rPr>
          <w:b/>
          <w:bCs/>
        </w:rPr>
        <w:t>8</w:t>
      </w:r>
      <w:r w:rsidRPr="00CF1F4A">
        <w:rPr>
          <w:b/>
          <w:bCs/>
        </w:rPr>
        <w:t>.2 Information and Communications</w:t>
      </w:r>
    </w:p>
    <w:p w:rsidR="00FE0777" w:rsidRPr="00CF1F4A" w:rsidRDefault="00FE0777" w:rsidP="00FE0777">
      <w:pPr>
        <w:pStyle w:val="BodyText"/>
        <w:numPr>
          <w:ilvl w:val="0"/>
          <w:numId w:val="11"/>
        </w:numPr>
        <w:tabs>
          <w:tab w:val="num" w:pos="1211"/>
        </w:tabs>
        <w:overflowPunct/>
        <w:autoSpaceDE/>
        <w:adjustRightInd/>
        <w:ind w:left="142" w:hanging="142"/>
        <w:jc w:val="lowKashida"/>
        <w:textAlignment w:val="auto"/>
        <w:rPr>
          <w:rFonts w:cs="Times New Roman"/>
        </w:rPr>
      </w:pPr>
      <w:r w:rsidRPr="00CF1F4A">
        <w:rPr>
          <w:rFonts w:cs="Times New Roman"/>
        </w:rPr>
        <w:t xml:space="preserve">There were </w:t>
      </w:r>
      <w:r w:rsidRPr="00CF1F4A">
        <w:rPr>
          <w:rFonts w:cs="Times New Roman"/>
          <w:rtl/>
        </w:rPr>
        <w:t>6</w:t>
      </w:r>
      <w:r w:rsidRPr="00CF1F4A">
        <w:rPr>
          <w:rFonts w:cs="Times New Roman"/>
        </w:rPr>
        <w:t>33 enterprises engaged in this sector in Palestine in 2016.</w:t>
      </w:r>
    </w:p>
    <w:p w:rsidR="00FE0777" w:rsidRPr="00CF1F4A" w:rsidRDefault="00FE0777" w:rsidP="00FE0777">
      <w:pPr>
        <w:pStyle w:val="BodyText"/>
        <w:overflowPunct/>
        <w:autoSpaceDE/>
        <w:adjustRightInd/>
        <w:ind w:left="142"/>
        <w:jc w:val="lowKashida"/>
        <w:textAlignment w:val="auto"/>
        <w:rPr>
          <w:rFonts w:cs="Times New Roman"/>
          <w:sz w:val="10"/>
          <w:szCs w:val="10"/>
        </w:rPr>
      </w:pPr>
    </w:p>
    <w:p w:rsidR="00FE0777" w:rsidRPr="00CF1F4A" w:rsidRDefault="00FE0777" w:rsidP="00FE0777">
      <w:pPr>
        <w:pStyle w:val="BodyText"/>
        <w:numPr>
          <w:ilvl w:val="0"/>
          <w:numId w:val="11"/>
        </w:numPr>
        <w:tabs>
          <w:tab w:val="num" w:pos="1211"/>
        </w:tabs>
        <w:overflowPunct/>
        <w:autoSpaceDE/>
        <w:adjustRightInd/>
        <w:ind w:left="142" w:hanging="142"/>
        <w:jc w:val="lowKashida"/>
        <w:textAlignment w:val="auto"/>
        <w:rPr>
          <w:rFonts w:cs="Times New Roman"/>
        </w:rPr>
      </w:pPr>
      <w:r w:rsidRPr="00CF1F4A">
        <w:rPr>
          <w:rFonts w:cs="Times New Roman"/>
        </w:rPr>
        <w:t xml:space="preserve"> There were 8,833 individuals employed in this sector in 2016</w:t>
      </w:r>
      <w:r w:rsidRPr="00CF1F4A">
        <w:rPr>
          <w:rFonts w:cs="Times New Roman"/>
          <w:rtl/>
        </w:rPr>
        <w:t>.</w:t>
      </w:r>
    </w:p>
    <w:p w:rsidR="00FE0777" w:rsidRPr="00CF1F4A" w:rsidRDefault="00FE0777" w:rsidP="00FE0777">
      <w:pPr>
        <w:pStyle w:val="BodyText"/>
        <w:overflowPunct/>
        <w:autoSpaceDE/>
        <w:adjustRightInd/>
        <w:ind w:left="142"/>
        <w:jc w:val="lowKashida"/>
        <w:textAlignment w:val="auto"/>
        <w:rPr>
          <w:rFonts w:cs="Times New Roman"/>
          <w:sz w:val="10"/>
          <w:szCs w:val="10"/>
        </w:rPr>
      </w:pPr>
    </w:p>
    <w:p w:rsidR="00FE0777" w:rsidRPr="00CF1F4A" w:rsidRDefault="00FE0777" w:rsidP="001047EC">
      <w:pPr>
        <w:pStyle w:val="BodyText"/>
        <w:numPr>
          <w:ilvl w:val="0"/>
          <w:numId w:val="11"/>
        </w:numPr>
        <w:tabs>
          <w:tab w:val="num" w:pos="1211"/>
        </w:tabs>
        <w:overflowPunct/>
        <w:autoSpaceDE/>
        <w:adjustRightInd/>
        <w:ind w:left="142" w:hanging="142"/>
        <w:jc w:val="lowKashida"/>
        <w:textAlignment w:val="auto"/>
        <w:rPr>
          <w:rFonts w:cs="Times New Roman"/>
        </w:rPr>
      </w:pPr>
      <w:r w:rsidRPr="00CF1F4A">
        <w:rPr>
          <w:rFonts w:cs="Times New Roman"/>
        </w:rPr>
        <w:t xml:space="preserve">The value of </w:t>
      </w:r>
      <w:r w:rsidR="001047EC" w:rsidRPr="00CF1F4A">
        <w:rPr>
          <w:rFonts w:cs="Times New Roman"/>
        </w:rPr>
        <w:t xml:space="preserve">the enterprises </w:t>
      </w:r>
      <w:r w:rsidRPr="00CF1F4A">
        <w:rPr>
          <w:rFonts w:cs="Times New Roman"/>
        </w:rPr>
        <w:t>output in information and communication activities was USD 814.3 million; intermediate consumption was USD 166.8</w:t>
      </w:r>
      <w:r w:rsidRPr="00CF1F4A">
        <w:rPr>
          <w:rFonts w:cs="Times New Roman"/>
          <w:rtl/>
        </w:rPr>
        <w:t xml:space="preserve"> </w:t>
      </w:r>
      <w:r w:rsidRPr="00CF1F4A">
        <w:rPr>
          <w:rFonts w:cs="Times New Roman"/>
        </w:rPr>
        <w:t xml:space="preserve"> million; and the value added was USD 647.5 million in 2016.</w:t>
      </w:r>
    </w:p>
    <w:p w:rsidR="00F126B1" w:rsidRPr="00CF1F4A" w:rsidRDefault="00F126B1" w:rsidP="00AC5E60">
      <w:pPr>
        <w:pStyle w:val="ListParagraph"/>
        <w:bidi w:val="0"/>
        <w:ind w:left="0"/>
        <w:jc w:val="lowKashida"/>
        <w:rPr>
          <w:rFonts w:cs="Times New Roman"/>
          <w:i/>
          <w:iCs/>
          <w:sz w:val="20"/>
          <w:u w:val="single"/>
        </w:rPr>
      </w:pPr>
      <w:r w:rsidRPr="00CF1F4A">
        <w:rPr>
          <w:rFonts w:cs="Times New Roman"/>
          <w:i/>
          <w:iCs/>
          <w:sz w:val="20"/>
          <w:u w:val="single"/>
        </w:rPr>
        <w:t xml:space="preserve">For more details on </w:t>
      </w:r>
      <w:r w:rsidR="00D57C6C" w:rsidRPr="00CF1F4A">
        <w:rPr>
          <w:rFonts w:cs="Times New Roman"/>
          <w:i/>
          <w:iCs/>
          <w:sz w:val="20"/>
          <w:u w:val="single"/>
        </w:rPr>
        <w:t>Information and Communications</w:t>
      </w:r>
      <w:r w:rsidRPr="00CF1F4A">
        <w:rPr>
          <w:rFonts w:cs="Times New Roman"/>
          <w:i/>
          <w:iCs/>
          <w:sz w:val="20"/>
          <w:u w:val="single"/>
        </w:rPr>
        <w:t>, see the tables in chapter 1.</w:t>
      </w:r>
      <w:r w:rsidR="00DE12F8" w:rsidRPr="00CF1F4A">
        <w:rPr>
          <w:rFonts w:cs="Times New Roman"/>
          <w:i/>
          <w:iCs/>
          <w:sz w:val="20"/>
          <w:u w:val="single"/>
        </w:rPr>
        <w:t>1</w:t>
      </w:r>
      <w:r w:rsidR="009C7CBC" w:rsidRPr="00CF1F4A">
        <w:rPr>
          <w:rFonts w:cs="Times New Roman"/>
          <w:i/>
          <w:iCs/>
          <w:sz w:val="20"/>
          <w:u w:val="single"/>
        </w:rPr>
        <w:t>8</w:t>
      </w:r>
      <w:r w:rsidRPr="00CF1F4A">
        <w:rPr>
          <w:rFonts w:cs="Times New Roman"/>
          <w:i/>
          <w:iCs/>
          <w:sz w:val="20"/>
          <w:u w:val="single"/>
        </w:rPr>
        <w:t xml:space="preserve"> of the Arabic section, pages</w:t>
      </w:r>
      <w:r w:rsidRPr="00CF1F4A">
        <w:rPr>
          <w:rFonts w:cs="Times New Roman"/>
          <w:i/>
          <w:iCs/>
          <w:sz w:val="20"/>
          <w:u w:val="single"/>
          <w:rtl/>
        </w:rPr>
        <w:t xml:space="preserve"> </w:t>
      </w:r>
      <w:r w:rsidR="00A12C35" w:rsidRPr="00CF1F4A">
        <w:rPr>
          <w:rFonts w:cs="Times New Roman"/>
          <w:i/>
          <w:iCs/>
          <w:sz w:val="20"/>
          <w:u w:val="single"/>
        </w:rPr>
        <w:t>207</w:t>
      </w:r>
      <w:r w:rsidRPr="00CF1F4A">
        <w:rPr>
          <w:rFonts w:cs="Times New Roman"/>
          <w:i/>
          <w:iCs/>
          <w:sz w:val="20"/>
          <w:u w:val="single"/>
        </w:rPr>
        <w:t>-</w:t>
      </w:r>
      <w:r w:rsidR="00A12C35" w:rsidRPr="00CF1F4A">
        <w:rPr>
          <w:rFonts w:cs="Times New Roman"/>
          <w:i/>
          <w:iCs/>
          <w:sz w:val="20"/>
          <w:u w:val="single"/>
        </w:rPr>
        <w:t>216</w:t>
      </w:r>
      <w:r w:rsidRPr="00CF1F4A">
        <w:rPr>
          <w:rFonts w:cs="Times New Roman"/>
          <w:i/>
          <w:iCs/>
          <w:sz w:val="20"/>
          <w:u w:val="single"/>
        </w:rPr>
        <w:t>.</w:t>
      </w:r>
    </w:p>
    <w:p w:rsidR="00F126B1" w:rsidRPr="00CF1F4A" w:rsidRDefault="00F126B1" w:rsidP="00F126B1">
      <w:pPr>
        <w:pStyle w:val="ListParagraph"/>
        <w:bidi w:val="0"/>
        <w:ind w:left="0"/>
        <w:jc w:val="lowKashida"/>
        <w:rPr>
          <w:rFonts w:cs="Times New Roman"/>
          <w:i/>
          <w:iCs/>
          <w:sz w:val="20"/>
          <w:u w:val="single"/>
        </w:rPr>
      </w:pPr>
    </w:p>
    <w:p w:rsidR="001F2744" w:rsidRPr="00CF1F4A" w:rsidRDefault="001F2744" w:rsidP="00331B49">
      <w:pPr>
        <w:pStyle w:val="Title"/>
        <w:numPr>
          <w:ilvl w:val="0"/>
          <w:numId w:val="2"/>
        </w:numPr>
        <w:bidi w:val="0"/>
        <w:ind w:left="98" w:hanging="308"/>
        <w:jc w:val="left"/>
        <w:rPr>
          <w:rFonts w:cs="Times New Roman"/>
          <w:sz w:val="20"/>
          <w:szCs w:val="20"/>
        </w:rPr>
      </w:pPr>
      <w:r w:rsidRPr="00CF1F4A">
        <w:rPr>
          <w:rFonts w:cs="Traditional Arabic"/>
          <w:sz w:val="20"/>
          <w:szCs w:val="20"/>
        </w:rPr>
        <w:t xml:space="preserve">Tourism              </w:t>
      </w:r>
      <w:r w:rsidRPr="00CF1F4A">
        <w:rPr>
          <w:rFonts w:cs="Times New Roman"/>
          <w:szCs w:val="24"/>
        </w:rPr>
        <w:t xml:space="preserve">             </w:t>
      </w:r>
    </w:p>
    <w:p w:rsidR="00A77E3C" w:rsidRPr="00CF1F4A" w:rsidRDefault="00A77E3C" w:rsidP="00FE0777">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There were 125 hotels in operation in 2016 with 6,878 rooms in total and 15,145</w:t>
      </w:r>
      <w:r w:rsidRPr="00CF1F4A">
        <w:rPr>
          <w:rFonts w:cs="Times New Roman"/>
          <w:rtl/>
        </w:rPr>
        <w:t xml:space="preserve"> </w:t>
      </w:r>
      <w:r w:rsidRPr="00CF1F4A">
        <w:rPr>
          <w:rFonts w:cs="Times New Roman"/>
        </w:rPr>
        <w:t>beds.</w:t>
      </w:r>
    </w:p>
    <w:p w:rsidR="00AC5E60" w:rsidRPr="00CF1F4A" w:rsidRDefault="00AC5E60" w:rsidP="00AC5E60">
      <w:pPr>
        <w:pStyle w:val="BodyText"/>
        <w:overflowPunct/>
        <w:autoSpaceDE/>
        <w:autoSpaceDN/>
        <w:adjustRightInd/>
        <w:ind w:left="142"/>
        <w:jc w:val="lowKashida"/>
        <w:textAlignment w:val="auto"/>
        <w:rPr>
          <w:rFonts w:cs="Times New Roman"/>
          <w:sz w:val="10"/>
          <w:szCs w:val="10"/>
        </w:rPr>
      </w:pPr>
    </w:p>
    <w:p w:rsidR="00A77E3C" w:rsidRPr="00CF1F4A" w:rsidRDefault="00A77E3C" w:rsidP="00FE0777">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 xml:space="preserve">During 2016, the total number of guests in hotels in the West Bank was </w:t>
      </w:r>
      <w:r w:rsidRPr="00CF1F4A">
        <w:rPr>
          <w:rFonts w:cs="Times New Roman"/>
          <w:rtl/>
        </w:rPr>
        <w:t>448</w:t>
      </w:r>
      <w:r w:rsidRPr="00CF1F4A">
        <w:rPr>
          <w:rFonts w:cs="Times New Roman"/>
        </w:rPr>
        <w:t>,</w:t>
      </w:r>
      <w:r w:rsidRPr="00CF1F4A">
        <w:rPr>
          <w:rFonts w:cs="Times New Roman"/>
          <w:rtl/>
        </w:rPr>
        <w:t>247</w:t>
      </w:r>
      <w:r w:rsidR="00AC5E60" w:rsidRPr="00CF1F4A">
        <w:rPr>
          <w:rFonts w:cs="Times New Roman"/>
        </w:rPr>
        <w:t>.</w:t>
      </w:r>
    </w:p>
    <w:p w:rsidR="00AC5E60" w:rsidRPr="00CF1F4A" w:rsidRDefault="00AC5E60" w:rsidP="00AC5E60">
      <w:pPr>
        <w:bidi/>
        <w:rPr>
          <w:sz w:val="10"/>
          <w:szCs w:val="10"/>
        </w:rPr>
      </w:pPr>
    </w:p>
    <w:p w:rsidR="00A77E3C" w:rsidRPr="00CF1F4A" w:rsidRDefault="00A77E3C" w:rsidP="00FE0777">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The total number of guest nights was 1,</w:t>
      </w:r>
      <w:r w:rsidRPr="00CF1F4A">
        <w:rPr>
          <w:rFonts w:cs="Times New Roman"/>
          <w:rtl/>
        </w:rPr>
        <w:t>310</w:t>
      </w:r>
      <w:r w:rsidRPr="00CF1F4A">
        <w:rPr>
          <w:rFonts w:cs="Times New Roman"/>
        </w:rPr>
        <w:t>,</w:t>
      </w:r>
      <w:r w:rsidRPr="00CF1F4A">
        <w:rPr>
          <w:rFonts w:cs="Times New Roman"/>
          <w:rtl/>
        </w:rPr>
        <w:t>824</w:t>
      </w:r>
      <w:r w:rsidRPr="00CF1F4A">
        <w:rPr>
          <w:rFonts w:cs="Times New Roman"/>
        </w:rPr>
        <w:t xml:space="preserve"> during 2016. </w:t>
      </w:r>
    </w:p>
    <w:p w:rsidR="00AC5E60" w:rsidRPr="00CF1F4A" w:rsidRDefault="00AC5E60" w:rsidP="00AC5E60">
      <w:pPr>
        <w:pStyle w:val="BodyText"/>
        <w:overflowPunct/>
        <w:autoSpaceDE/>
        <w:autoSpaceDN/>
        <w:adjustRightInd/>
        <w:ind w:left="142"/>
        <w:jc w:val="lowKashida"/>
        <w:textAlignment w:val="auto"/>
        <w:rPr>
          <w:rFonts w:cs="Times New Roman"/>
          <w:sz w:val="10"/>
          <w:szCs w:val="10"/>
        </w:rPr>
      </w:pPr>
    </w:p>
    <w:p w:rsidR="00A77E3C" w:rsidRPr="00CF1F4A" w:rsidRDefault="00A77E3C" w:rsidP="00FE0777">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There were 2,903 hotel workers: 2,229 males and 674</w:t>
      </w:r>
      <w:r w:rsidRPr="00CF1F4A">
        <w:rPr>
          <w:rFonts w:cs="Times New Roman"/>
          <w:rtl/>
        </w:rPr>
        <w:t xml:space="preserve"> </w:t>
      </w:r>
      <w:r w:rsidRPr="00CF1F4A">
        <w:rPr>
          <w:rFonts w:cs="Times New Roman"/>
        </w:rPr>
        <w:t>females.</w:t>
      </w:r>
    </w:p>
    <w:p w:rsidR="00AC5E60" w:rsidRPr="00CF1F4A" w:rsidRDefault="00AC5E60" w:rsidP="00AC5E60">
      <w:pPr>
        <w:bidi/>
        <w:rPr>
          <w:sz w:val="10"/>
          <w:szCs w:val="10"/>
        </w:rPr>
      </w:pPr>
    </w:p>
    <w:p w:rsidR="00A77E3C" w:rsidRPr="00CF1F4A" w:rsidRDefault="00A77E3C" w:rsidP="00FE0777">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Room occupancy was 20.6% in 2016.</w:t>
      </w:r>
    </w:p>
    <w:p w:rsidR="00AC5E60" w:rsidRPr="00CF1F4A" w:rsidRDefault="00AC5E60" w:rsidP="00AC5E60">
      <w:pPr>
        <w:pStyle w:val="BodyText"/>
        <w:overflowPunct/>
        <w:autoSpaceDE/>
        <w:autoSpaceDN/>
        <w:adjustRightInd/>
        <w:ind w:left="142"/>
        <w:jc w:val="lowKashida"/>
        <w:textAlignment w:val="auto"/>
        <w:rPr>
          <w:rFonts w:cs="Times New Roman"/>
          <w:sz w:val="10"/>
          <w:szCs w:val="10"/>
        </w:rPr>
      </w:pPr>
    </w:p>
    <w:p w:rsidR="00A77E3C" w:rsidRPr="00CF1F4A" w:rsidRDefault="00A77E3C" w:rsidP="00FE0777">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Bed occupancy was 23.7% in 2016.</w:t>
      </w:r>
    </w:p>
    <w:p w:rsidR="002C4BB1" w:rsidRPr="00CF1F4A" w:rsidRDefault="00A77E3C" w:rsidP="00AC5E60">
      <w:pPr>
        <w:pStyle w:val="ListParagraph"/>
        <w:bidi w:val="0"/>
        <w:ind w:left="0"/>
        <w:jc w:val="lowKashida"/>
        <w:rPr>
          <w:rFonts w:cs="Times New Roman"/>
          <w:i/>
          <w:iCs/>
          <w:sz w:val="20"/>
          <w:u w:val="single"/>
        </w:rPr>
      </w:pPr>
      <w:r w:rsidRPr="00CF1F4A">
        <w:rPr>
          <w:rFonts w:cs="Times New Roman"/>
          <w:i/>
          <w:iCs/>
          <w:sz w:val="20"/>
          <w:u w:val="single"/>
        </w:rPr>
        <w:t>For more details on tourism, see the tables in chapter 1.19 of the Arabic section, pages 2</w:t>
      </w:r>
      <w:r w:rsidR="00AC5E60" w:rsidRPr="00CF1F4A">
        <w:rPr>
          <w:rFonts w:cs="Times New Roman"/>
          <w:i/>
          <w:iCs/>
          <w:sz w:val="20"/>
          <w:u w:val="single"/>
        </w:rPr>
        <w:t>1</w:t>
      </w:r>
      <w:r w:rsidRPr="00CF1F4A">
        <w:rPr>
          <w:rFonts w:cs="Times New Roman"/>
          <w:i/>
          <w:iCs/>
          <w:sz w:val="20"/>
          <w:u w:val="single"/>
        </w:rPr>
        <w:t>7-</w:t>
      </w:r>
      <w:r w:rsidR="00AC5E60" w:rsidRPr="00CF1F4A">
        <w:rPr>
          <w:rFonts w:cs="Times New Roman"/>
          <w:i/>
          <w:iCs/>
          <w:sz w:val="20"/>
          <w:u w:val="single"/>
        </w:rPr>
        <w:t>224</w:t>
      </w:r>
      <w:r w:rsidR="002C4BB1" w:rsidRPr="00CF1F4A">
        <w:rPr>
          <w:rFonts w:cs="Times New Roman"/>
          <w:i/>
          <w:iCs/>
          <w:sz w:val="20"/>
          <w:u w:val="single"/>
        </w:rPr>
        <w:t>.</w:t>
      </w:r>
    </w:p>
    <w:p w:rsidR="001378A2" w:rsidRPr="00CF1F4A" w:rsidRDefault="001378A2" w:rsidP="001378A2">
      <w:pPr>
        <w:pStyle w:val="ListParagraph"/>
        <w:bidi w:val="0"/>
        <w:ind w:left="0"/>
        <w:jc w:val="lowKashida"/>
        <w:rPr>
          <w:rFonts w:cs="Times New Roman"/>
          <w:i/>
          <w:iCs/>
          <w:sz w:val="4"/>
          <w:szCs w:val="4"/>
          <w:u w:val="single"/>
        </w:rPr>
      </w:pPr>
    </w:p>
    <w:p w:rsidR="00A822B8" w:rsidRPr="00CF1F4A" w:rsidRDefault="00A822B8" w:rsidP="00A822B8">
      <w:pPr>
        <w:pStyle w:val="ListParagraph"/>
        <w:bidi w:val="0"/>
        <w:ind w:left="0"/>
        <w:jc w:val="lowKashida"/>
        <w:rPr>
          <w:rFonts w:cs="Times New Roman"/>
          <w:i/>
          <w:iCs/>
          <w:sz w:val="10"/>
          <w:szCs w:val="10"/>
          <w:u w:val="single"/>
        </w:rPr>
      </w:pPr>
    </w:p>
    <w:p w:rsidR="001F2744" w:rsidRPr="00CF1F4A" w:rsidRDefault="001F2744" w:rsidP="00331B49">
      <w:pPr>
        <w:pStyle w:val="Title"/>
        <w:numPr>
          <w:ilvl w:val="0"/>
          <w:numId w:val="2"/>
        </w:numPr>
        <w:bidi w:val="0"/>
        <w:ind w:left="98" w:hanging="308"/>
        <w:jc w:val="left"/>
        <w:rPr>
          <w:rFonts w:cs="Traditional Arabic"/>
          <w:sz w:val="20"/>
          <w:szCs w:val="20"/>
        </w:rPr>
      </w:pPr>
      <w:r w:rsidRPr="00CF1F4A">
        <w:rPr>
          <w:rFonts w:cs="Traditional Arabic"/>
          <w:sz w:val="20"/>
          <w:szCs w:val="20"/>
        </w:rPr>
        <w:t>Services</w:t>
      </w:r>
    </w:p>
    <w:p w:rsidR="00FE0777" w:rsidRPr="00CF1F4A" w:rsidRDefault="00FE0777" w:rsidP="00FE0777">
      <w:pPr>
        <w:pStyle w:val="BodyText"/>
        <w:numPr>
          <w:ilvl w:val="0"/>
          <w:numId w:val="3"/>
        </w:numPr>
        <w:overflowPunct/>
        <w:autoSpaceDE/>
        <w:autoSpaceDN/>
        <w:adjustRightInd/>
        <w:ind w:left="142" w:hanging="142"/>
        <w:jc w:val="lowKashida"/>
        <w:textAlignment w:val="auto"/>
      </w:pPr>
      <w:r w:rsidRPr="00CF1F4A">
        <w:t>There were 40,230 enterprises engaged in the services sector in Palestine in 2016.</w:t>
      </w:r>
    </w:p>
    <w:p w:rsidR="009C68C8" w:rsidRPr="00CF1F4A" w:rsidRDefault="009C68C8" w:rsidP="009C68C8">
      <w:pPr>
        <w:pStyle w:val="BodyText"/>
        <w:overflowPunct/>
        <w:autoSpaceDE/>
        <w:autoSpaceDN/>
        <w:adjustRightInd/>
        <w:ind w:left="142"/>
        <w:jc w:val="lowKashida"/>
        <w:textAlignment w:val="auto"/>
        <w:rPr>
          <w:sz w:val="10"/>
          <w:szCs w:val="10"/>
        </w:rPr>
      </w:pPr>
    </w:p>
    <w:p w:rsidR="00FE0777" w:rsidRPr="00CF1F4A" w:rsidRDefault="00FE0777" w:rsidP="00FE0777">
      <w:pPr>
        <w:pStyle w:val="BodyText"/>
        <w:numPr>
          <w:ilvl w:val="0"/>
          <w:numId w:val="3"/>
        </w:numPr>
        <w:overflowPunct/>
        <w:autoSpaceDE/>
        <w:autoSpaceDN/>
        <w:adjustRightInd/>
        <w:ind w:left="142" w:hanging="142"/>
        <w:jc w:val="lowKashida"/>
        <w:textAlignment w:val="auto"/>
      </w:pPr>
      <w:r w:rsidRPr="00CF1F4A">
        <w:t>There were 153,540 individuals employed in services sector.</w:t>
      </w:r>
    </w:p>
    <w:p w:rsidR="009C68C8" w:rsidRPr="00CF1F4A" w:rsidRDefault="009C68C8" w:rsidP="009C68C8">
      <w:pPr>
        <w:pStyle w:val="BodyText"/>
        <w:overflowPunct/>
        <w:autoSpaceDE/>
        <w:autoSpaceDN/>
        <w:adjustRightInd/>
        <w:jc w:val="lowKashida"/>
        <w:textAlignment w:val="auto"/>
        <w:rPr>
          <w:sz w:val="10"/>
          <w:szCs w:val="10"/>
        </w:rPr>
      </w:pPr>
    </w:p>
    <w:p w:rsidR="00FE0777" w:rsidRPr="00CF1F4A" w:rsidRDefault="00FE0777" w:rsidP="000D0910">
      <w:pPr>
        <w:pStyle w:val="BodyText"/>
        <w:numPr>
          <w:ilvl w:val="0"/>
          <w:numId w:val="3"/>
        </w:numPr>
        <w:overflowPunct/>
        <w:autoSpaceDE/>
        <w:autoSpaceDN/>
        <w:adjustRightInd/>
        <w:ind w:left="142" w:hanging="142"/>
        <w:jc w:val="lowKashida"/>
        <w:textAlignment w:val="auto"/>
      </w:pPr>
      <w:r w:rsidRPr="00CF1F4A">
        <w:t xml:space="preserve">The value of </w:t>
      </w:r>
      <w:r w:rsidR="000D0910" w:rsidRPr="00CF1F4A">
        <w:t xml:space="preserve">the enterprises </w:t>
      </w:r>
      <w:r w:rsidRPr="00CF1F4A">
        <w:t>output in the services sector was USD 2,231.4 million; intermediate consumption totaled USD 581.0 million; and the value added was USD 1,650.4 million.</w:t>
      </w:r>
    </w:p>
    <w:p w:rsidR="00725C87" w:rsidRPr="00CF1F4A" w:rsidRDefault="008874A9" w:rsidP="009C68C8">
      <w:pPr>
        <w:pStyle w:val="ListParagraph"/>
        <w:bidi w:val="0"/>
        <w:ind w:left="0"/>
        <w:jc w:val="lowKashida"/>
        <w:rPr>
          <w:rFonts w:cs="Times New Roman"/>
          <w:i/>
          <w:iCs/>
          <w:sz w:val="20"/>
          <w:u w:val="single"/>
        </w:rPr>
      </w:pPr>
      <w:r w:rsidRPr="00CF1F4A">
        <w:rPr>
          <w:rFonts w:cs="Times New Roman"/>
          <w:i/>
          <w:iCs/>
          <w:sz w:val="20"/>
          <w:u w:val="single"/>
        </w:rPr>
        <w:t>For more detail</w:t>
      </w:r>
      <w:r w:rsidR="00E33DF0" w:rsidRPr="00CF1F4A">
        <w:rPr>
          <w:rFonts w:cs="Times New Roman"/>
          <w:i/>
          <w:iCs/>
          <w:sz w:val="20"/>
          <w:u w:val="single"/>
        </w:rPr>
        <w:t>s</w:t>
      </w:r>
      <w:r w:rsidRPr="00CF1F4A">
        <w:rPr>
          <w:rFonts w:cs="Times New Roman"/>
          <w:i/>
          <w:iCs/>
          <w:sz w:val="20"/>
          <w:u w:val="single"/>
        </w:rPr>
        <w:t xml:space="preserve"> </w:t>
      </w:r>
      <w:r w:rsidR="00E33DF0" w:rsidRPr="00CF1F4A">
        <w:rPr>
          <w:rFonts w:cs="Times New Roman"/>
          <w:i/>
          <w:iCs/>
          <w:sz w:val="20"/>
          <w:u w:val="single"/>
        </w:rPr>
        <w:t>on the s</w:t>
      </w:r>
      <w:r w:rsidR="006C0C7B" w:rsidRPr="00CF1F4A">
        <w:rPr>
          <w:rFonts w:cs="Times New Roman"/>
          <w:i/>
          <w:iCs/>
          <w:sz w:val="20"/>
          <w:u w:val="single"/>
        </w:rPr>
        <w:t>ervices</w:t>
      </w:r>
      <w:r w:rsidR="0023449A" w:rsidRPr="00CF1F4A">
        <w:rPr>
          <w:rFonts w:cs="Times New Roman"/>
          <w:i/>
          <w:iCs/>
          <w:sz w:val="20"/>
          <w:u w:val="single"/>
        </w:rPr>
        <w:t xml:space="preserve"> sector,</w:t>
      </w:r>
      <w:r w:rsidRPr="00CF1F4A">
        <w:rPr>
          <w:rFonts w:cs="Times New Roman"/>
          <w:i/>
          <w:iCs/>
          <w:sz w:val="20"/>
          <w:u w:val="single"/>
        </w:rPr>
        <w:t xml:space="preserve"> </w:t>
      </w:r>
      <w:r w:rsidR="0037009A" w:rsidRPr="00CF1F4A">
        <w:rPr>
          <w:rFonts w:cs="Times New Roman"/>
          <w:i/>
          <w:iCs/>
          <w:sz w:val="20"/>
          <w:u w:val="single"/>
        </w:rPr>
        <w:t xml:space="preserve">see </w:t>
      </w:r>
      <w:r w:rsidR="0023449A" w:rsidRPr="00CF1F4A">
        <w:rPr>
          <w:rFonts w:cs="Times New Roman"/>
          <w:i/>
          <w:iCs/>
          <w:sz w:val="20"/>
          <w:u w:val="single"/>
        </w:rPr>
        <w:t xml:space="preserve">the </w:t>
      </w:r>
      <w:r w:rsidR="0037009A" w:rsidRPr="00CF1F4A">
        <w:rPr>
          <w:rFonts w:cs="Times New Roman"/>
          <w:i/>
          <w:iCs/>
          <w:sz w:val="20"/>
          <w:u w:val="single"/>
        </w:rPr>
        <w:t xml:space="preserve">tables </w:t>
      </w:r>
      <w:r w:rsidRPr="00CF1F4A">
        <w:rPr>
          <w:rFonts w:cs="Times New Roman"/>
          <w:i/>
          <w:iCs/>
          <w:sz w:val="20"/>
          <w:u w:val="single"/>
        </w:rPr>
        <w:t>in chapter 1.</w:t>
      </w:r>
      <w:r w:rsidR="000C5F6C" w:rsidRPr="00CF1F4A">
        <w:rPr>
          <w:rFonts w:cs="Times New Roman"/>
          <w:i/>
          <w:iCs/>
          <w:sz w:val="20"/>
          <w:u w:val="single"/>
        </w:rPr>
        <w:t>20</w:t>
      </w:r>
      <w:r w:rsidRPr="00CF1F4A">
        <w:rPr>
          <w:rFonts w:cs="Times New Roman"/>
          <w:i/>
          <w:iCs/>
          <w:sz w:val="20"/>
          <w:u w:val="single"/>
        </w:rPr>
        <w:t xml:space="preserve"> </w:t>
      </w:r>
      <w:r w:rsidR="0023449A" w:rsidRPr="00CF1F4A">
        <w:rPr>
          <w:rFonts w:cs="Times New Roman"/>
          <w:i/>
          <w:iCs/>
          <w:sz w:val="20"/>
          <w:u w:val="single"/>
        </w:rPr>
        <w:t xml:space="preserve">of the </w:t>
      </w:r>
      <w:r w:rsidR="00654A09" w:rsidRPr="00CF1F4A">
        <w:rPr>
          <w:rFonts w:cs="Times New Roman"/>
          <w:i/>
          <w:iCs/>
          <w:sz w:val="20"/>
          <w:u w:val="single"/>
        </w:rPr>
        <w:t>Arabic</w:t>
      </w:r>
      <w:r w:rsidRPr="00CF1F4A">
        <w:rPr>
          <w:rFonts w:cs="Times New Roman"/>
          <w:i/>
          <w:iCs/>
          <w:sz w:val="20"/>
          <w:u w:val="single"/>
        </w:rPr>
        <w:t xml:space="preserve"> </w:t>
      </w:r>
      <w:r w:rsidR="0023449A" w:rsidRPr="00CF1F4A">
        <w:rPr>
          <w:rFonts w:cs="Times New Roman"/>
          <w:i/>
          <w:iCs/>
          <w:sz w:val="20"/>
          <w:u w:val="single"/>
        </w:rPr>
        <w:t xml:space="preserve">section, </w:t>
      </w:r>
      <w:r w:rsidRPr="00CF1F4A">
        <w:rPr>
          <w:rFonts w:cs="Times New Roman"/>
          <w:i/>
          <w:iCs/>
          <w:sz w:val="20"/>
          <w:u w:val="single"/>
        </w:rPr>
        <w:t>page</w:t>
      </w:r>
      <w:r w:rsidR="0023449A" w:rsidRPr="00CF1F4A">
        <w:rPr>
          <w:rFonts w:cs="Times New Roman"/>
          <w:i/>
          <w:iCs/>
          <w:sz w:val="20"/>
          <w:u w:val="single"/>
        </w:rPr>
        <w:t>s</w:t>
      </w:r>
      <w:r w:rsidR="006C0C7B" w:rsidRPr="00CF1F4A">
        <w:rPr>
          <w:rFonts w:cs="Times New Roman"/>
          <w:i/>
          <w:iCs/>
          <w:sz w:val="20"/>
          <w:u w:val="single"/>
        </w:rPr>
        <w:t xml:space="preserve"> </w:t>
      </w:r>
      <w:r w:rsidR="009C68C8" w:rsidRPr="00CF1F4A">
        <w:rPr>
          <w:rFonts w:cs="Times New Roman"/>
          <w:i/>
          <w:iCs/>
          <w:sz w:val="20"/>
          <w:u w:val="single"/>
        </w:rPr>
        <w:t>225</w:t>
      </w:r>
      <w:r w:rsidR="006C0C7B" w:rsidRPr="00CF1F4A">
        <w:rPr>
          <w:rFonts w:cs="Times New Roman"/>
          <w:i/>
          <w:iCs/>
          <w:sz w:val="20"/>
          <w:u w:val="single"/>
        </w:rPr>
        <w:t>-</w:t>
      </w:r>
      <w:r w:rsidR="009C68C8" w:rsidRPr="00CF1F4A">
        <w:rPr>
          <w:rFonts w:cs="Times New Roman"/>
          <w:i/>
          <w:iCs/>
          <w:sz w:val="20"/>
          <w:u w:val="single"/>
        </w:rPr>
        <w:t>228</w:t>
      </w:r>
      <w:r w:rsidR="0023449A" w:rsidRPr="00CF1F4A">
        <w:rPr>
          <w:rFonts w:cs="Times New Roman"/>
          <w:i/>
          <w:iCs/>
          <w:sz w:val="20"/>
          <w:u w:val="single"/>
        </w:rPr>
        <w:t>.</w:t>
      </w:r>
    </w:p>
    <w:p w:rsidR="00FE0777" w:rsidRPr="00CF1F4A" w:rsidRDefault="00FE0777" w:rsidP="00FE0777">
      <w:pPr>
        <w:pStyle w:val="ListParagraph"/>
        <w:bidi w:val="0"/>
        <w:ind w:left="0"/>
        <w:jc w:val="lowKashida"/>
        <w:rPr>
          <w:rFonts w:cs="Times New Roman"/>
          <w:i/>
          <w:iCs/>
          <w:sz w:val="20"/>
          <w:u w:val="single"/>
        </w:rPr>
      </w:pPr>
    </w:p>
    <w:p w:rsidR="001F2744" w:rsidRPr="00CF1F4A" w:rsidRDefault="001F2744" w:rsidP="006478C9">
      <w:pPr>
        <w:pStyle w:val="Title"/>
        <w:numPr>
          <w:ilvl w:val="0"/>
          <w:numId w:val="2"/>
        </w:numPr>
        <w:bidi w:val="0"/>
        <w:ind w:left="98" w:hanging="308"/>
        <w:jc w:val="left"/>
        <w:rPr>
          <w:rFonts w:cs="Traditional Arabic"/>
          <w:sz w:val="20"/>
          <w:szCs w:val="20"/>
        </w:rPr>
      </w:pPr>
      <w:r w:rsidRPr="00CF1F4A">
        <w:rPr>
          <w:rFonts w:cs="Traditional Arabic"/>
          <w:sz w:val="20"/>
          <w:szCs w:val="20"/>
        </w:rPr>
        <w:t>Internal  Trade</w:t>
      </w:r>
    </w:p>
    <w:p w:rsidR="00FE0777" w:rsidRPr="00CF1F4A" w:rsidRDefault="00FE0777" w:rsidP="00FE0777">
      <w:pPr>
        <w:pStyle w:val="BodyText"/>
        <w:numPr>
          <w:ilvl w:val="0"/>
          <w:numId w:val="3"/>
        </w:numPr>
        <w:overflowPunct/>
        <w:autoSpaceDE/>
        <w:autoSpaceDN/>
        <w:adjustRightInd/>
        <w:ind w:left="142" w:hanging="142"/>
        <w:jc w:val="lowKashida"/>
        <w:textAlignment w:val="auto"/>
      </w:pPr>
      <w:r w:rsidRPr="00CF1F4A">
        <w:t>In 2016, there were 81,193 enterprises engaged in this sector in Palestine.</w:t>
      </w:r>
    </w:p>
    <w:p w:rsidR="009C6CC8" w:rsidRPr="00CF1F4A" w:rsidRDefault="009C6CC8" w:rsidP="009C6CC8">
      <w:pPr>
        <w:pStyle w:val="BodyText"/>
        <w:overflowPunct/>
        <w:autoSpaceDE/>
        <w:autoSpaceDN/>
        <w:adjustRightInd/>
        <w:ind w:left="142"/>
        <w:jc w:val="lowKashida"/>
        <w:textAlignment w:val="auto"/>
        <w:rPr>
          <w:sz w:val="10"/>
          <w:szCs w:val="10"/>
        </w:rPr>
      </w:pPr>
    </w:p>
    <w:p w:rsidR="00FE0777" w:rsidRPr="00CF1F4A" w:rsidRDefault="00FE0777" w:rsidP="00FE0777">
      <w:pPr>
        <w:pStyle w:val="BodyText"/>
        <w:numPr>
          <w:ilvl w:val="0"/>
          <w:numId w:val="3"/>
        </w:numPr>
        <w:overflowPunct/>
        <w:autoSpaceDE/>
        <w:autoSpaceDN/>
        <w:adjustRightInd/>
        <w:ind w:left="142" w:hanging="142"/>
        <w:jc w:val="lowKashida"/>
        <w:textAlignment w:val="auto"/>
      </w:pPr>
      <w:r w:rsidRPr="00CF1F4A">
        <w:t>In 2016, there were 185,088 employed persons in this sector.</w:t>
      </w:r>
    </w:p>
    <w:p w:rsidR="009C6CC8" w:rsidRPr="00CF1F4A" w:rsidRDefault="009C6CC8" w:rsidP="009C6CC8">
      <w:pPr>
        <w:pStyle w:val="BodyText"/>
        <w:overflowPunct/>
        <w:autoSpaceDE/>
        <w:autoSpaceDN/>
        <w:adjustRightInd/>
        <w:jc w:val="lowKashida"/>
        <w:textAlignment w:val="auto"/>
        <w:rPr>
          <w:sz w:val="10"/>
          <w:szCs w:val="10"/>
        </w:rPr>
      </w:pPr>
    </w:p>
    <w:p w:rsidR="00FE0777" w:rsidRPr="00CF1F4A" w:rsidRDefault="00FE0777" w:rsidP="000D0910">
      <w:pPr>
        <w:pStyle w:val="BodyText"/>
        <w:numPr>
          <w:ilvl w:val="0"/>
          <w:numId w:val="3"/>
        </w:numPr>
        <w:overflowPunct/>
        <w:autoSpaceDE/>
        <w:autoSpaceDN/>
        <w:adjustRightInd/>
        <w:ind w:left="142" w:hanging="142"/>
        <w:jc w:val="lowKashida"/>
        <w:textAlignment w:val="auto"/>
      </w:pPr>
      <w:r w:rsidRPr="00CF1F4A">
        <w:t xml:space="preserve">The value of </w:t>
      </w:r>
      <w:r w:rsidR="000D0910" w:rsidRPr="00CF1F4A">
        <w:t xml:space="preserve">the enterprises </w:t>
      </w:r>
      <w:r w:rsidRPr="00CF1F4A">
        <w:t>output in internal trade activities was USD 3,944.1</w:t>
      </w:r>
      <w:r w:rsidRPr="00CF1F4A">
        <w:rPr>
          <w:rtl/>
        </w:rPr>
        <w:t xml:space="preserve"> </w:t>
      </w:r>
      <w:r w:rsidRPr="00CF1F4A">
        <w:t>million; intermediate consumption totaled USD 731.7 million; and the value added was USD 3,212.4 million.</w:t>
      </w:r>
    </w:p>
    <w:p w:rsidR="008874A9" w:rsidRPr="00CF1F4A" w:rsidRDefault="008874A9" w:rsidP="009C6CC8">
      <w:pPr>
        <w:pStyle w:val="ListParagraph"/>
        <w:bidi w:val="0"/>
        <w:ind w:left="0"/>
        <w:jc w:val="lowKashida"/>
        <w:rPr>
          <w:rFonts w:cs="Times New Roman"/>
          <w:i/>
          <w:iCs/>
          <w:sz w:val="20"/>
          <w:u w:val="single"/>
        </w:rPr>
      </w:pPr>
      <w:r w:rsidRPr="00CF1F4A">
        <w:rPr>
          <w:rFonts w:cs="Times New Roman"/>
          <w:i/>
          <w:iCs/>
          <w:sz w:val="20"/>
          <w:u w:val="single"/>
        </w:rPr>
        <w:t>For more detail</w:t>
      </w:r>
      <w:r w:rsidR="00B21173" w:rsidRPr="00CF1F4A">
        <w:rPr>
          <w:rFonts w:cs="Times New Roman"/>
          <w:i/>
          <w:iCs/>
          <w:sz w:val="20"/>
          <w:u w:val="single"/>
        </w:rPr>
        <w:t>s on</w:t>
      </w:r>
      <w:r w:rsidRPr="00CF1F4A">
        <w:rPr>
          <w:rFonts w:cs="Times New Roman"/>
          <w:i/>
          <w:iCs/>
          <w:sz w:val="20"/>
          <w:u w:val="single"/>
        </w:rPr>
        <w:t xml:space="preserve"> </w:t>
      </w:r>
      <w:r w:rsidR="00B21173" w:rsidRPr="00CF1F4A">
        <w:rPr>
          <w:rFonts w:cs="Times New Roman"/>
          <w:i/>
          <w:iCs/>
          <w:sz w:val="20"/>
          <w:u w:val="single"/>
        </w:rPr>
        <w:t>trade,</w:t>
      </w:r>
      <w:r w:rsidRPr="00CF1F4A">
        <w:rPr>
          <w:rFonts w:cs="Times New Roman"/>
          <w:i/>
          <w:iCs/>
          <w:sz w:val="20"/>
          <w:u w:val="single"/>
        </w:rPr>
        <w:t xml:space="preserve"> </w:t>
      </w:r>
      <w:r w:rsidR="0037009A" w:rsidRPr="00CF1F4A">
        <w:rPr>
          <w:rFonts w:cs="Times New Roman"/>
          <w:i/>
          <w:iCs/>
          <w:sz w:val="20"/>
          <w:u w:val="single"/>
        </w:rPr>
        <w:t xml:space="preserve">see </w:t>
      </w:r>
      <w:r w:rsidR="00B21173" w:rsidRPr="00CF1F4A">
        <w:rPr>
          <w:rFonts w:cs="Times New Roman"/>
          <w:i/>
          <w:iCs/>
          <w:sz w:val="20"/>
          <w:u w:val="single"/>
        </w:rPr>
        <w:t xml:space="preserve">the </w:t>
      </w:r>
      <w:r w:rsidR="0037009A" w:rsidRPr="00CF1F4A">
        <w:rPr>
          <w:rFonts w:cs="Times New Roman"/>
          <w:i/>
          <w:iCs/>
          <w:sz w:val="20"/>
          <w:u w:val="single"/>
        </w:rPr>
        <w:t xml:space="preserve">tables </w:t>
      </w:r>
      <w:r w:rsidRPr="00CF1F4A">
        <w:rPr>
          <w:rFonts w:cs="Times New Roman"/>
          <w:i/>
          <w:iCs/>
          <w:sz w:val="20"/>
          <w:u w:val="single"/>
        </w:rPr>
        <w:t>in chapter 1.</w:t>
      </w:r>
      <w:r w:rsidR="006C0C7B" w:rsidRPr="00CF1F4A">
        <w:rPr>
          <w:rFonts w:cs="Times New Roman"/>
          <w:i/>
          <w:iCs/>
          <w:sz w:val="20"/>
          <w:u w:val="single"/>
        </w:rPr>
        <w:t>2</w:t>
      </w:r>
      <w:r w:rsidR="000C5F6C" w:rsidRPr="00CF1F4A">
        <w:rPr>
          <w:rFonts w:cs="Times New Roman"/>
          <w:i/>
          <w:iCs/>
          <w:sz w:val="20"/>
          <w:u w:val="single"/>
        </w:rPr>
        <w:t>1</w:t>
      </w:r>
      <w:r w:rsidRPr="00CF1F4A">
        <w:rPr>
          <w:rFonts w:cs="Times New Roman"/>
          <w:i/>
          <w:iCs/>
          <w:sz w:val="20"/>
          <w:u w:val="single"/>
        </w:rPr>
        <w:t xml:space="preserve"> </w:t>
      </w:r>
      <w:r w:rsidR="00B21173" w:rsidRPr="00CF1F4A">
        <w:rPr>
          <w:rFonts w:cs="Times New Roman"/>
          <w:i/>
          <w:iCs/>
          <w:sz w:val="20"/>
          <w:u w:val="single"/>
        </w:rPr>
        <w:t xml:space="preserve">of the </w:t>
      </w:r>
      <w:r w:rsidR="00654A09" w:rsidRPr="00CF1F4A">
        <w:rPr>
          <w:rFonts w:cs="Times New Roman"/>
          <w:i/>
          <w:iCs/>
          <w:sz w:val="20"/>
          <w:u w:val="single"/>
        </w:rPr>
        <w:t>Arabic</w:t>
      </w:r>
      <w:r w:rsidRPr="00CF1F4A">
        <w:rPr>
          <w:rFonts w:cs="Times New Roman"/>
          <w:i/>
          <w:iCs/>
          <w:sz w:val="20"/>
          <w:u w:val="single"/>
        </w:rPr>
        <w:t xml:space="preserve"> </w:t>
      </w:r>
      <w:r w:rsidR="00B21173" w:rsidRPr="00CF1F4A">
        <w:rPr>
          <w:rFonts w:cs="Times New Roman"/>
          <w:i/>
          <w:iCs/>
          <w:sz w:val="20"/>
          <w:u w:val="single"/>
        </w:rPr>
        <w:t xml:space="preserve">section, </w:t>
      </w:r>
      <w:r w:rsidRPr="00CF1F4A">
        <w:rPr>
          <w:rFonts w:cs="Times New Roman"/>
          <w:i/>
          <w:iCs/>
          <w:sz w:val="20"/>
          <w:u w:val="single"/>
        </w:rPr>
        <w:t>page</w:t>
      </w:r>
      <w:r w:rsidR="00B21173" w:rsidRPr="00CF1F4A">
        <w:rPr>
          <w:rFonts w:cs="Times New Roman"/>
          <w:i/>
          <w:iCs/>
          <w:sz w:val="20"/>
          <w:u w:val="single"/>
        </w:rPr>
        <w:t>s</w:t>
      </w:r>
      <w:r w:rsidR="009C6CC8" w:rsidRPr="00CF1F4A">
        <w:rPr>
          <w:rFonts w:cs="Times New Roman"/>
          <w:i/>
          <w:iCs/>
          <w:sz w:val="20"/>
          <w:u w:val="single"/>
        </w:rPr>
        <w:t xml:space="preserve">    </w:t>
      </w:r>
      <w:r w:rsidR="006C0C7B" w:rsidRPr="00CF1F4A">
        <w:rPr>
          <w:rFonts w:cs="Times New Roman"/>
          <w:i/>
          <w:iCs/>
          <w:sz w:val="20"/>
          <w:u w:val="single"/>
        </w:rPr>
        <w:t xml:space="preserve"> </w:t>
      </w:r>
      <w:r w:rsidR="00F17F36" w:rsidRPr="00CF1F4A">
        <w:rPr>
          <w:rFonts w:cs="Times New Roman"/>
          <w:i/>
          <w:iCs/>
          <w:sz w:val="20"/>
          <w:u w:val="single"/>
        </w:rPr>
        <w:t>2</w:t>
      </w:r>
      <w:r w:rsidR="009C6CC8" w:rsidRPr="00CF1F4A">
        <w:rPr>
          <w:rFonts w:cs="Times New Roman"/>
          <w:i/>
          <w:iCs/>
          <w:sz w:val="20"/>
          <w:u w:val="single"/>
        </w:rPr>
        <w:t>2</w:t>
      </w:r>
      <w:r w:rsidR="00F17F36" w:rsidRPr="00CF1F4A">
        <w:rPr>
          <w:rFonts w:cs="Times New Roman"/>
          <w:i/>
          <w:iCs/>
          <w:sz w:val="20"/>
          <w:u w:val="single"/>
        </w:rPr>
        <w:t>9</w:t>
      </w:r>
      <w:r w:rsidR="006C0C7B" w:rsidRPr="00CF1F4A">
        <w:rPr>
          <w:rFonts w:cs="Times New Roman"/>
          <w:i/>
          <w:iCs/>
          <w:sz w:val="20"/>
          <w:u w:val="single"/>
        </w:rPr>
        <w:t>-</w:t>
      </w:r>
      <w:r w:rsidR="009C6CC8" w:rsidRPr="00CF1F4A">
        <w:rPr>
          <w:rFonts w:cs="Times New Roman"/>
          <w:i/>
          <w:iCs/>
          <w:sz w:val="20"/>
          <w:u w:val="single"/>
        </w:rPr>
        <w:t>232</w:t>
      </w:r>
      <w:r w:rsidR="00B21173" w:rsidRPr="00CF1F4A">
        <w:rPr>
          <w:rFonts w:cs="Times New Roman"/>
          <w:i/>
          <w:iCs/>
          <w:sz w:val="20"/>
          <w:u w:val="single"/>
        </w:rPr>
        <w:t>.</w:t>
      </w:r>
    </w:p>
    <w:p w:rsidR="00C45804" w:rsidRPr="00CF1F4A" w:rsidRDefault="00C45804" w:rsidP="00C45804">
      <w:pPr>
        <w:pStyle w:val="Title"/>
        <w:bidi w:val="0"/>
        <w:ind w:left="-210"/>
        <w:jc w:val="left"/>
        <w:rPr>
          <w:rFonts w:cs="Traditional Arabic"/>
          <w:sz w:val="20"/>
          <w:szCs w:val="20"/>
        </w:rPr>
      </w:pPr>
    </w:p>
    <w:p w:rsidR="00C45804" w:rsidRPr="00CF1F4A" w:rsidRDefault="00C45804" w:rsidP="00C45804">
      <w:pPr>
        <w:pStyle w:val="Title"/>
        <w:bidi w:val="0"/>
        <w:ind w:left="-210"/>
        <w:jc w:val="left"/>
        <w:rPr>
          <w:rFonts w:cs="Traditional Arabic"/>
          <w:sz w:val="20"/>
          <w:szCs w:val="20"/>
        </w:rPr>
      </w:pPr>
    </w:p>
    <w:p w:rsidR="00C45804" w:rsidRPr="00CF1F4A" w:rsidRDefault="00C45804" w:rsidP="00C45804">
      <w:pPr>
        <w:pStyle w:val="Title"/>
        <w:bidi w:val="0"/>
        <w:ind w:left="-210"/>
        <w:jc w:val="left"/>
        <w:rPr>
          <w:rFonts w:cs="Traditional Arabic"/>
          <w:sz w:val="20"/>
          <w:szCs w:val="20"/>
        </w:rPr>
      </w:pPr>
    </w:p>
    <w:p w:rsidR="00F11EE2" w:rsidRPr="00CF1F4A" w:rsidRDefault="00F11EE2" w:rsidP="00C45804">
      <w:pPr>
        <w:pStyle w:val="Title"/>
        <w:numPr>
          <w:ilvl w:val="0"/>
          <w:numId w:val="2"/>
        </w:numPr>
        <w:bidi w:val="0"/>
        <w:ind w:left="98" w:hanging="308"/>
        <w:jc w:val="left"/>
        <w:rPr>
          <w:rFonts w:cs="Traditional Arabic"/>
          <w:sz w:val="20"/>
          <w:szCs w:val="20"/>
        </w:rPr>
      </w:pPr>
      <w:r w:rsidRPr="00CF1F4A">
        <w:rPr>
          <w:rFonts w:cs="Traditional Arabic"/>
          <w:sz w:val="20"/>
          <w:szCs w:val="20"/>
        </w:rPr>
        <w:lastRenderedPageBreak/>
        <w:t>Registered Foreign Trade</w:t>
      </w:r>
    </w:p>
    <w:p w:rsidR="00C45804" w:rsidRPr="00CF1F4A" w:rsidRDefault="00121893" w:rsidP="00B0601E">
      <w:pPr>
        <w:pStyle w:val="BodyText"/>
        <w:numPr>
          <w:ilvl w:val="0"/>
          <w:numId w:val="3"/>
        </w:numPr>
        <w:overflowPunct/>
        <w:autoSpaceDE/>
        <w:autoSpaceDN/>
        <w:adjustRightInd/>
        <w:ind w:left="142" w:hanging="142"/>
        <w:jc w:val="lowKashida"/>
        <w:textAlignment w:val="auto"/>
      </w:pPr>
      <w:r w:rsidRPr="00CF1F4A">
        <w:t>The total value of registered imported goods in 2016 was USD 5,363.8 million, which marks an increase of 2.6% compared to 2015.</w:t>
      </w:r>
    </w:p>
    <w:p w:rsidR="00121893" w:rsidRPr="00CF1F4A" w:rsidRDefault="00121893" w:rsidP="00C45804">
      <w:pPr>
        <w:pStyle w:val="BodyText"/>
        <w:overflowPunct/>
        <w:autoSpaceDE/>
        <w:autoSpaceDN/>
        <w:adjustRightInd/>
        <w:ind w:left="142"/>
        <w:jc w:val="lowKashida"/>
        <w:textAlignment w:val="auto"/>
        <w:rPr>
          <w:sz w:val="10"/>
          <w:szCs w:val="10"/>
        </w:rPr>
      </w:pPr>
      <w:r w:rsidRPr="00CF1F4A">
        <w:rPr>
          <w:sz w:val="10"/>
          <w:szCs w:val="10"/>
        </w:rPr>
        <w:t xml:space="preserve"> </w:t>
      </w:r>
    </w:p>
    <w:p w:rsidR="00121893" w:rsidRPr="00CF1F4A" w:rsidRDefault="00121893" w:rsidP="00B0601E">
      <w:pPr>
        <w:pStyle w:val="BodyText"/>
        <w:numPr>
          <w:ilvl w:val="0"/>
          <w:numId w:val="3"/>
        </w:numPr>
        <w:overflowPunct/>
        <w:autoSpaceDE/>
        <w:autoSpaceDN/>
        <w:adjustRightInd/>
        <w:ind w:left="142" w:hanging="142"/>
        <w:jc w:val="lowKashida"/>
        <w:textAlignment w:val="auto"/>
      </w:pPr>
      <w:r w:rsidRPr="00CF1F4A">
        <w:t xml:space="preserve">The registered exported goods totaled USD 926.5 million with a decrease of 3.3% compared to 2015. </w:t>
      </w:r>
    </w:p>
    <w:p w:rsidR="00C45804" w:rsidRPr="00CF1F4A" w:rsidRDefault="00C45804" w:rsidP="00C45804">
      <w:pPr>
        <w:pStyle w:val="BodyText"/>
        <w:overflowPunct/>
        <w:autoSpaceDE/>
        <w:autoSpaceDN/>
        <w:adjustRightInd/>
        <w:jc w:val="lowKashida"/>
        <w:textAlignment w:val="auto"/>
        <w:rPr>
          <w:sz w:val="10"/>
          <w:szCs w:val="10"/>
        </w:rPr>
      </w:pPr>
    </w:p>
    <w:p w:rsidR="00121893" w:rsidRPr="00CF1F4A" w:rsidRDefault="00121893" w:rsidP="00B0601E">
      <w:pPr>
        <w:pStyle w:val="BodyText"/>
        <w:numPr>
          <w:ilvl w:val="0"/>
          <w:numId w:val="3"/>
        </w:numPr>
        <w:overflowPunct/>
        <w:autoSpaceDE/>
        <w:autoSpaceDN/>
        <w:adjustRightInd/>
        <w:ind w:left="142" w:hanging="142"/>
        <w:jc w:val="lowKashida"/>
        <w:textAlignment w:val="auto"/>
      </w:pPr>
      <w:r w:rsidRPr="00CF1F4A">
        <w:t>In 2016</w:t>
      </w:r>
      <w:r w:rsidR="000D0910" w:rsidRPr="00CF1F4A">
        <w:t>,</w:t>
      </w:r>
      <w:r w:rsidRPr="00CF1F4A">
        <w:t xml:space="preserve"> the deficit in the net trade balance in goods totaled USD 4,437.3 million, showing an increase of 4% compared to 2015</w:t>
      </w:r>
    </w:p>
    <w:p w:rsidR="00AB3882" w:rsidRPr="00CF1F4A" w:rsidRDefault="00AB3882" w:rsidP="006E5AF5">
      <w:pPr>
        <w:pStyle w:val="Header"/>
        <w:tabs>
          <w:tab w:val="clear" w:pos="4153"/>
          <w:tab w:val="clear" w:pos="8306"/>
        </w:tabs>
        <w:jc w:val="center"/>
        <w:rPr>
          <w:b/>
          <w:bCs/>
          <w:sz w:val="10"/>
          <w:szCs w:val="10"/>
        </w:rPr>
      </w:pPr>
    </w:p>
    <w:p w:rsidR="00121893" w:rsidRPr="00CF1F4A" w:rsidRDefault="00121893" w:rsidP="006E5AF5">
      <w:pPr>
        <w:pStyle w:val="Header"/>
        <w:tabs>
          <w:tab w:val="clear" w:pos="4153"/>
          <w:tab w:val="clear" w:pos="8306"/>
        </w:tabs>
        <w:jc w:val="center"/>
        <w:rPr>
          <w:b/>
          <w:bCs/>
          <w:sz w:val="18"/>
          <w:szCs w:val="18"/>
        </w:rPr>
      </w:pPr>
      <w:r w:rsidRPr="00CF1F4A">
        <w:rPr>
          <w:b/>
          <w:bCs/>
          <w:sz w:val="18"/>
          <w:szCs w:val="18"/>
        </w:rPr>
        <w:t>Value of Registered Imports, Exports in Goods and Net Trade Balance in Palestine, 199</w:t>
      </w:r>
      <w:r w:rsidR="006E5AF5" w:rsidRPr="00CF1F4A">
        <w:rPr>
          <w:b/>
          <w:bCs/>
          <w:sz w:val="18"/>
          <w:szCs w:val="18"/>
        </w:rPr>
        <w:t>6</w:t>
      </w:r>
      <w:r w:rsidRPr="00CF1F4A">
        <w:rPr>
          <w:b/>
          <w:bCs/>
          <w:sz w:val="18"/>
          <w:szCs w:val="18"/>
        </w:rPr>
        <w:t xml:space="preserve"> </w:t>
      </w:r>
      <w:r w:rsidR="00C45804" w:rsidRPr="00CF1F4A">
        <w:rPr>
          <w:b/>
          <w:bCs/>
          <w:sz w:val="18"/>
          <w:szCs w:val="18"/>
        </w:rPr>
        <w:t>–</w:t>
      </w:r>
      <w:r w:rsidRPr="00CF1F4A">
        <w:rPr>
          <w:b/>
          <w:bCs/>
          <w:sz w:val="18"/>
          <w:szCs w:val="18"/>
        </w:rPr>
        <w:t xml:space="preserve"> 2016</w:t>
      </w:r>
    </w:p>
    <w:p w:rsidR="00C45804" w:rsidRPr="00CF1F4A" w:rsidRDefault="00C45804" w:rsidP="006E5AF5">
      <w:pPr>
        <w:pStyle w:val="Header"/>
        <w:tabs>
          <w:tab w:val="clear" w:pos="4153"/>
          <w:tab w:val="clear" w:pos="8306"/>
        </w:tabs>
        <w:jc w:val="center"/>
        <w:rPr>
          <w:b/>
          <w:bCs/>
          <w:sz w:val="10"/>
          <w:szCs w:val="10"/>
        </w:rPr>
      </w:pPr>
    </w:p>
    <w:tbl>
      <w:tblPr>
        <w:tblStyle w:val="TableGrid"/>
        <w:tblW w:w="0" w:type="auto"/>
        <w:jc w:val="center"/>
        <w:tblLook w:val="04A0"/>
      </w:tblPr>
      <w:tblGrid>
        <w:gridCol w:w="7126"/>
      </w:tblGrid>
      <w:tr w:rsidR="00121893" w:rsidRPr="00CF1F4A" w:rsidTr="00A85326">
        <w:trPr>
          <w:jc w:val="center"/>
        </w:trPr>
        <w:tc>
          <w:tcPr>
            <w:tcW w:w="7019" w:type="dxa"/>
            <w:vAlign w:val="center"/>
          </w:tcPr>
          <w:p w:rsidR="00121893" w:rsidRPr="00CF1F4A" w:rsidRDefault="00121893" w:rsidP="00A85326">
            <w:pPr>
              <w:pStyle w:val="Header"/>
              <w:tabs>
                <w:tab w:val="clear" w:pos="4153"/>
                <w:tab w:val="clear" w:pos="8306"/>
              </w:tabs>
              <w:jc w:val="center"/>
              <w:rPr>
                <w:rFonts w:cs="Simplified Arabic"/>
                <w:b/>
                <w:bCs/>
                <w:sz w:val="28"/>
                <w:szCs w:val="28"/>
              </w:rPr>
            </w:pPr>
            <w:r w:rsidRPr="00CF1F4A">
              <w:rPr>
                <w:rFonts w:cs="Simplified Arabic"/>
                <w:b/>
                <w:bCs/>
                <w:noProof/>
                <w:sz w:val="28"/>
                <w:szCs w:val="28"/>
              </w:rPr>
              <w:drawing>
                <wp:inline distT="0" distB="0" distL="0" distR="0">
                  <wp:extent cx="4387850" cy="1479550"/>
                  <wp:effectExtent l="0" t="0" r="0" b="0"/>
                  <wp:docPr id="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121893" w:rsidRPr="00CF1F4A" w:rsidRDefault="00121893" w:rsidP="00121893">
      <w:pPr>
        <w:jc w:val="lowKashida"/>
        <w:rPr>
          <w:sz w:val="14"/>
          <w:szCs w:val="14"/>
        </w:rPr>
      </w:pPr>
      <w:r w:rsidRPr="00CF1F4A">
        <w:rPr>
          <w:rFonts w:ascii="Arial" w:hAnsi="Arial"/>
          <w:sz w:val="14"/>
          <w:szCs w:val="14"/>
        </w:rPr>
        <w:t>*:</w:t>
      </w:r>
      <w:r w:rsidRPr="00CF1F4A">
        <w:rPr>
          <w:rFonts w:ascii="Arial" w:hAnsi="Arial" w:cs="Arial"/>
          <w:sz w:val="14"/>
          <w:szCs w:val="14"/>
        </w:rPr>
        <w:t xml:space="preserve"> The data excludes those parts of Jerusalem which were annexed forcefully by Israel following its occupation of the West Bank in 1967</w:t>
      </w:r>
    </w:p>
    <w:p w:rsidR="00121893" w:rsidRPr="00CF1F4A" w:rsidRDefault="00121893" w:rsidP="00121893">
      <w:pPr>
        <w:jc w:val="lowKashida"/>
        <w:rPr>
          <w:sz w:val="10"/>
          <w:szCs w:val="10"/>
        </w:rPr>
      </w:pPr>
    </w:p>
    <w:p w:rsidR="00121893" w:rsidRPr="00CF1F4A" w:rsidRDefault="00121893" w:rsidP="00C45804">
      <w:pPr>
        <w:pStyle w:val="ListParagraph"/>
        <w:bidi w:val="0"/>
        <w:ind w:left="0"/>
        <w:jc w:val="lowKashida"/>
        <w:rPr>
          <w:rFonts w:cs="Times New Roman"/>
          <w:i/>
          <w:iCs/>
          <w:sz w:val="20"/>
          <w:u w:val="single"/>
        </w:rPr>
      </w:pPr>
      <w:r w:rsidRPr="00CF1F4A">
        <w:rPr>
          <w:rFonts w:cs="Times New Roman"/>
          <w:i/>
          <w:iCs/>
          <w:sz w:val="20"/>
          <w:u w:val="single"/>
        </w:rPr>
        <w:t xml:space="preserve">For more details on trade, see the tables in chapter 1.22 of the Arabic section, pages </w:t>
      </w:r>
      <w:r w:rsidR="00C45804" w:rsidRPr="00CF1F4A">
        <w:rPr>
          <w:rFonts w:cs="Times New Roman"/>
          <w:i/>
          <w:iCs/>
          <w:sz w:val="20"/>
          <w:u w:val="single"/>
        </w:rPr>
        <w:t xml:space="preserve">    </w:t>
      </w:r>
      <w:r w:rsidRPr="00CF1F4A">
        <w:rPr>
          <w:rFonts w:cs="Times New Roman"/>
          <w:i/>
          <w:iCs/>
          <w:sz w:val="20"/>
          <w:u w:val="single"/>
        </w:rPr>
        <w:t>2</w:t>
      </w:r>
      <w:r w:rsidR="00C45804" w:rsidRPr="00CF1F4A">
        <w:rPr>
          <w:rFonts w:cs="Times New Roman"/>
          <w:i/>
          <w:iCs/>
          <w:sz w:val="20"/>
          <w:u w:val="single"/>
        </w:rPr>
        <w:t>3</w:t>
      </w:r>
      <w:r w:rsidRPr="00CF1F4A">
        <w:rPr>
          <w:rFonts w:cs="Times New Roman"/>
          <w:i/>
          <w:iCs/>
          <w:sz w:val="20"/>
          <w:u w:val="single"/>
        </w:rPr>
        <w:t>3-</w:t>
      </w:r>
      <w:r w:rsidR="00C45804" w:rsidRPr="00CF1F4A">
        <w:rPr>
          <w:rFonts w:cs="Times New Roman"/>
          <w:i/>
          <w:iCs/>
          <w:sz w:val="20"/>
          <w:u w:val="single"/>
        </w:rPr>
        <w:t>240</w:t>
      </w:r>
      <w:r w:rsidRPr="00CF1F4A">
        <w:rPr>
          <w:rFonts w:cs="Times New Roman"/>
          <w:i/>
          <w:iCs/>
          <w:sz w:val="20"/>
          <w:u w:val="single"/>
        </w:rPr>
        <w:t>.</w:t>
      </w:r>
    </w:p>
    <w:p w:rsidR="00F11EE2" w:rsidRPr="00CF1F4A" w:rsidRDefault="00F11EE2" w:rsidP="00F11EE2">
      <w:pPr>
        <w:pStyle w:val="ListParagraph"/>
        <w:bidi w:val="0"/>
        <w:ind w:left="0"/>
        <w:jc w:val="lowKashida"/>
        <w:rPr>
          <w:rFonts w:cs="Times New Roman"/>
          <w:i/>
          <w:iCs/>
          <w:sz w:val="10"/>
          <w:szCs w:val="10"/>
          <w:u w:val="single"/>
        </w:rPr>
      </w:pPr>
    </w:p>
    <w:p w:rsidR="000D0910" w:rsidRPr="00CF1F4A" w:rsidRDefault="000D0910" w:rsidP="000D0910">
      <w:pPr>
        <w:pStyle w:val="ListParagraph"/>
        <w:bidi w:val="0"/>
        <w:ind w:left="0"/>
        <w:jc w:val="lowKashida"/>
        <w:rPr>
          <w:rFonts w:cs="Times New Roman"/>
          <w:i/>
          <w:iCs/>
          <w:sz w:val="10"/>
          <w:szCs w:val="10"/>
          <w:u w:val="single"/>
        </w:rPr>
      </w:pPr>
    </w:p>
    <w:p w:rsidR="002514FB" w:rsidRPr="00CF1F4A" w:rsidRDefault="00D83D67" w:rsidP="00D83D67">
      <w:pPr>
        <w:pStyle w:val="Title"/>
        <w:bidi w:val="0"/>
        <w:ind w:left="-210"/>
        <w:jc w:val="left"/>
        <w:rPr>
          <w:rFonts w:cs="Traditional Arabic"/>
          <w:noProof w:val="0"/>
          <w:sz w:val="20"/>
          <w:szCs w:val="20"/>
          <w:rtl/>
        </w:rPr>
      </w:pPr>
      <w:r w:rsidRPr="00CF1F4A">
        <w:rPr>
          <w:rFonts w:cs="Traditional Arabic"/>
          <w:sz w:val="20"/>
          <w:szCs w:val="20"/>
        </w:rPr>
        <w:t xml:space="preserve">23. </w:t>
      </w:r>
      <w:r w:rsidR="002514FB" w:rsidRPr="00CF1F4A">
        <w:rPr>
          <w:rFonts w:cs="Traditional Arabic"/>
          <w:sz w:val="20"/>
          <w:szCs w:val="20"/>
        </w:rPr>
        <w:t xml:space="preserve">Balance of Payments </w:t>
      </w:r>
    </w:p>
    <w:p w:rsidR="00BC4685" w:rsidRPr="00CF1F4A" w:rsidRDefault="00BC4685" w:rsidP="00BC4685">
      <w:pPr>
        <w:ind w:hanging="210"/>
        <w:jc w:val="lowKashida"/>
        <w:rPr>
          <w:b/>
          <w:bCs/>
        </w:rPr>
      </w:pPr>
      <w:r w:rsidRPr="00CF1F4A">
        <w:rPr>
          <w:b/>
          <w:bCs/>
        </w:rPr>
        <w:t>23.1 Current Account</w:t>
      </w:r>
    </w:p>
    <w:p w:rsidR="00BC4685" w:rsidRPr="00CF1F4A" w:rsidRDefault="00BC4685" w:rsidP="00C106B2">
      <w:pPr>
        <w:pStyle w:val="BodyText"/>
        <w:numPr>
          <w:ilvl w:val="0"/>
          <w:numId w:val="3"/>
        </w:numPr>
        <w:tabs>
          <w:tab w:val="num" w:pos="1211"/>
        </w:tabs>
        <w:overflowPunct/>
        <w:autoSpaceDE/>
        <w:autoSpaceDN/>
        <w:adjustRightInd/>
        <w:ind w:left="142" w:hanging="142"/>
        <w:jc w:val="lowKashida"/>
        <w:textAlignment w:val="auto"/>
        <w:rPr>
          <w:rFonts w:cs="Times New Roman"/>
        </w:rPr>
      </w:pPr>
      <w:r w:rsidRPr="00CF1F4A">
        <w:rPr>
          <w:rFonts w:cs="Times New Roman"/>
        </w:rPr>
        <w:t>The Palestinian balance of payments in 2016 recorded a deficit of USD 1348.0 million in the current account (goods, services, income, current transfers)</w:t>
      </w:r>
      <w:r w:rsidR="00C106B2" w:rsidRPr="00CF1F4A">
        <w:rPr>
          <w:rFonts w:cs="Times New Roman"/>
        </w:rPr>
        <w:t xml:space="preserve"> with </w:t>
      </w:r>
      <w:r w:rsidRPr="00CF1F4A">
        <w:rPr>
          <w:rFonts w:cs="Times New Roman"/>
        </w:rPr>
        <w:t>10.1% of the GDP in current prices in 2016 compare</w:t>
      </w:r>
      <w:r w:rsidR="00C106B2" w:rsidRPr="00CF1F4A">
        <w:rPr>
          <w:rFonts w:cs="Times New Roman"/>
        </w:rPr>
        <w:t>d</w:t>
      </w:r>
      <w:r w:rsidRPr="00CF1F4A">
        <w:rPr>
          <w:rFonts w:cs="Times New Roman"/>
        </w:rPr>
        <w:t xml:space="preserve"> with a deficit of USD 2</w:t>
      </w:r>
      <w:r w:rsidR="00B26A5C" w:rsidRPr="00CF1F4A">
        <w:rPr>
          <w:rFonts w:cs="Times New Roman"/>
        </w:rPr>
        <w:t>,</w:t>
      </w:r>
      <w:r w:rsidRPr="00CF1F4A">
        <w:rPr>
          <w:rFonts w:cs="Times New Roman"/>
        </w:rPr>
        <w:t>065.7 million in 2015.</w:t>
      </w:r>
    </w:p>
    <w:p w:rsidR="00BC4685" w:rsidRPr="00CF1F4A" w:rsidRDefault="00BC4685" w:rsidP="00B0601E">
      <w:pPr>
        <w:tabs>
          <w:tab w:val="left" w:pos="1211"/>
        </w:tabs>
        <w:ind w:left="-14"/>
        <w:jc w:val="both"/>
        <w:rPr>
          <w:noProof/>
          <w:sz w:val="10"/>
          <w:szCs w:val="10"/>
        </w:rPr>
      </w:pPr>
      <w:r w:rsidRPr="00CF1F4A">
        <w:rPr>
          <w:noProof/>
          <w:sz w:val="10"/>
          <w:szCs w:val="10"/>
        </w:rPr>
        <w:t xml:space="preserve"> </w:t>
      </w:r>
    </w:p>
    <w:p w:rsidR="00BC4685" w:rsidRPr="00CF1F4A" w:rsidRDefault="00BC4685" w:rsidP="00BC4685">
      <w:pPr>
        <w:pStyle w:val="BodyText"/>
        <w:numPr>
          <w:ilvl w:val="0"/>
          <w:numId w:val="3"/>
        </w:numPr>
        <w:tabs>
          <w:tab w:val="num" w:pos="1211"/>
        </w:tabs>
        <w:overflowPunct/>
        <w:autoSpaceDE/>
        <w:autoSpaceDN/>
        <w:adjustRightInd/>
        <w:ind w:left="142" w:hanging="142"/>
        <w:jc w:val="lowKashida"/>
        <w:textAlignment w:val="auto"/>
      </w:pPr>
      <w:r w:rsidRPr="00CF1F4A">
        <w:t>The trade balance of goods recorded</w:t>
      </w:r>
      <w:r w:rsidRPr="00CF1F4A">
        <w:rPr>
          <w:rtl/>
        </w:rPr>
        <w:t xml:space="preserve"> </w:t>
      </w:r>
      <w:r w:rsidRPr="00CF1F4A">
        <w:t xml:space="preserve">a deficit of USD </w:t>
      </w:r>
      <w:r w:rsidRPr="00CF1F4A">
        <w:rPr>
          <w:rFonts w:ascii="Simplified Arabic" w:hAnsi="Simplified Arabic" w:cs="Simplified Arabic"/>
        </w:rPr>
        <w:t>4</w:t>
      </w:r>
      <w:r w:rsidR="00B26A5C" w:rsidRPr="00CF1F4A">
        <w:rPr>
          <w:rFonts w:ascii="Simplified Arabic" w:hAnsi="Simplified Arabic" w:cs="Simplified Arabic"/>
        </w:rPr>
        <w:t>,</w:t>
      </w:r>
      <w:r w:rsidRPr="00CF1F4A">
        <w:rPr>
          <w:rFonts w:ascii="Simplified Arabic" w:hAnsi="Simplified Arabic" w:cs="Simplified Arabic"/>
        </w:rPr>
        <w:t xml:space="preserve">282.1 </w:t>
      </w:r>
      <w:r w:rsidRPr="00CF1F4A">
        <w:t>million, comprising about 32.0% of the GDP in current prices in 2016.  This reflects a decrease of 0.4% compared with the 2015 deficit.  The trade balance deficit with Israel was the main cause of the overall trade balance deficit.</w:t>
      </w:r>
    </w:p>
    <w:p w:rsidR="00BC4685" w:rsidRPr="00CF1F4A" w:rsidRDefault="00BC4685" w:rsidP="00BC4685">
      <w:pPr>
        <w:ind w:left="-14"/>
        <w:jc w:val="both"/>
        <w:rPr>
          <w:rFonts w:cs="Traditional Arabic"/>
          <w:sz w:val="10"/>
          <w:szCs w:val="10"/>
        </w:rPr>
      </w:pPr>
    </w:p>
    <w:p w:rsidR="00BC4685" w:rsidRPr="00CF1F4A" w:rsidRDefault="00BC4685" w:rsidP="00BC4685">
      <w:pPr>
        <w:pStyle w:val="BodyText"/>
        <w:numPr>
          <w:ilvl w:val="0"/>
          <w:numId w:val="3"/>
        </w:numPr>
        <w:tabs>
          <w:tab w:val="num" w:pos="1211"/>
        </w:tabs>
        <w:overflowPunct/>
        <w:autoSpaceDE/>
        <w:autoSpaceDN/>
        <w:adjustRightInd/>
        <w:ind w:left="142" w:hanging="142"/>
        <w:jc w:val="lowKashida"/>
        <w:textAlignment w:val="auto"/>
        <w:rPr>
          <w:rFonts w:cs="Times New Roman"/>
        </w:rPr>
      </w:pPr>
      <w:r w:rsidRPr="00CF1F4A">
        <w:rPr>
          <w:rFonts w:cs="Times New Roman"/>
        </w:rPr>
        <w:t>The services balance recorded a deficit of USD 888.4 million, representing a decrease of 1.2% compared with 2015.  The decline in the services balance deficit was caused by increased exports in construction services and a decrease of imports in travel services.</w:t>
      </w:r>
    </w:p>
    <w:p w:rsidR="00B26A5C" w:rsidRPr="00CF1F4A" w:rsidRDefault="00B26A5C" w:rsidP="00B26A5C">
      <w:pPr>
        <w:pStyle w:val="ListParagraph"/>
      </w:pPr>
    </w:p>
    <w:p w:rsidR="00BC4685" w:rsidRPr="00CF1F4A" w:rsidRDefault="00BC4685" w:rsidP="00BC4685">
      <w:pPr>
        <w:ind w:hanging="210"/>
        <w:jc w:val="lowKashida"/>
        <w:rPr>
          <w:b/>
          <w:bCs/>
        </w:rPr>
      </w:pPr>
      <w:r w:rsidRPr="00CF1F4A">
        <w:rPr>
          <w:b/>
          <w:bCs/>
        </w:rPr>
        <w:t>23.2 Income Balance</w:t>
      </w:r>
    </w:p>
    <w:p w:rsidR="00BC4685" w:rsidRPr="00CF1F4A" w:rsidRDefault="00BC4685" w:rsidP="00BC4685">
      <w:pPr>
        <w:pStyle w:val="BodyText"/>
        <w:numPr>
          <w:ilvl w:val="0"/>
          <w:numId w:val="3"/>
        </w:numPr>
        <w:tabs>
          <w:tab w:val="num" w:pos="1211"/>
        </w:tabs>
        <w:overflowPunct/>
        <w:autoSpaceDE/>
        <w:autoSpaceDN/>
        <w:adjustRightInd/>
        <w:ind w:left="142" w:hanging="142"/>
        <w:jc w:val="lowKashida"/>
        <w:textAlignment w:val="auto"/>
      </w:pPr>
      <w:r w:rsidRPr="00CF1F4A">
        <w:t>A surplus of USD 1</w:t>
      </w:r>
      <w:r w:rsidR="00B26A5C" w:rsidRPr="00CF1F4A">
        <w:t>,</w:t>
      </w:r>
      <w:r w:rsidRPr="00CF1F4A">
        <w:t>578.6 million was recorded in this account, representing a decrease of 7.8% compared with 2015.  The surplus was caused mainly by the surplus in compensations of employees working in Israel, which totaled USD 1</w:t>
      </w:r>
      <w:r w:rsidR="00B26A5C" w:rsidRPr="00CF1F4A">
        <w:t>,</w:t>
      </w:r>
      <w:r w:rsidRPr="00CF1F4A">
        <w:t>527.7 million and reflects a decrease of 7.4% compared with 2015. Investment income received from abroad totaled USD 136.8 million, reflecting a decrease of 1.7% compared with 2015. This was caused mainly by an increase in the earnings received on portfolio investments invested abroad, in addition to earnings received on other investments abroad (mainly interest income on deposits abroad).</w:t>
      </w:r>
    </w:p>
    <w:p w:rsidR="00BC4685" w:rsidRPr="00CF1F4A" w:rsidRDefault="00BC4685" w:rsidP="00B26A5C">
      <w:pPr>
        <w:ind w:hanging="196"/>
        <w:jc w:val="lowKashida"/>
        <w:rPr>
          <w:b/>
          <w:bCs/>
        </w:rPr>
      </w:pPr>
      <w:r w:rsidRPr="00CF1F4A">
        <w:rPr>
          <w:b/>
          <w:bCs/>
        </w:rPr>
        <w:lastRenderedPageBreak/>
        <w:t>23.</w:t>
      </w:r>
      <w:r w:rsidR="00B26A5C" w:rsidRPr="00CF1F4A">
        <w:rPr>
          <w:b/>
          <w:bCs/>
        </w:rPr>
        <w:t>3</w:t>
      </w:r>
      <w:r w:rsidRPr="00CF1F4A">
        <w:rPr>
          <w:b/>
          <w:bCs/>
        </w:rPr>
        <w:t xml:space="preserve"> Capital and Financial Account</w:t>
      </w:r>
    </w:p>
    <w:p w:rsidR="00BC4685" w:rsidRPr="00CF1F4A" w:rsidRDefault="00BC4685" w:rsidP="00BC4685">
      <w:pPr>
        <w:pStyle w:val="BodyText"/>
        <w:numPr>
          <w:ilvl w:val="0"/>
          <w:numId w:val="3"/>
        </w:numPr>
        <w:tabs>
          <w:tab w:val="num" w:pos="1211"/>
        </w:tabs>
        <w:overflowPunct/>
        <w:autoSpaceDE/>
        <w:autoSpaceDN/>
        <w:adjustRightInd/>
        <w:ind w:left="-14" w:hanging="142"/>
        <w:textAlignment w:val="auto"/>
        <w:rPr>
          <w:rFonts w:cs="Times New Roman"/>
          <w:noProof/>
        </w:rPr>
      </w:pPr>
      <w:r w:rsidRPr="00CF1F4A">
        <w:rPr>
          <w:rFonts w:cs="Times New Roman"/>
        </w:rPr>
        <w:t>This account recorded a surplus of USD 1</w:t>
      </w:r>
      <w:r w:rsidR="00B26A5C" w:rsidRPr="00CF1F4A">
        <w:rPr>
          <w:rFonts w:cs="Times New Roman"/>
        </w:rPr>
        <w:t>,</w:t>
      </w:r>
      <w:r w:rsidRPr="00CF1F4A">
        <w:rPr>
          <w:rFonts w:cs="Times New Roman"/>
        </w:rPr>
        <w:t xml:space="preserve">113.9 million in 2016, mainly due to the surplus in the financial account (direct investments, portfolio investments, other investments and reserve assets), which totaled USD 683.1 million as a result of the surplus in currency and deposits in other investments. </w:t>
      </w:r>
    </w:p>
    <w:p w:rsidR="00BC4685" w:rsidRPr="00CF1F4A" w:rsidRDefault="00BC4685" w:rsidP="00B93F05">
      <w:pPr>
        <w:pStyle w:val="ListParagraph"/>
        <w:bidi w:val="0"/>
        <w:ind w:left="0"/>
        <w:jc w:val="lowKashida"/>
        <w:rPr>
          <w:rFonts w:cs="Times New Roman"/>
          <w:i/>
          <w:iCs/>
          <w:sz w:val="20"/>
          <w:u w:val="single"/>
        </w:rPr>
      </w:pPr>
      <w:r w:rsidRPr="00CF1F4A">
        <w:rPr>
          <w:rFonts w:cs="Times New Roman"/>
          <w:i/>
          <w:iCs/>
          <w:sz w:val="20"/>
          <w:u w:val="single"/>
        </w:rPr>
        <w:t>For more details on the balance of payments, see the tables in chapter 23.1 of the Arabic section, pages 2</w:t>
      </w:r>
      <w:r w:rsidR="00D70720" w:rsidRPr="00CF1F4A">
        <w:rPr>
          <w:rFonts w:cs="Times New Roman"/>
          <w:i/>
          <w:iCs/>
          <w:sz w:val="20"/>
          <w:u w:val="single"/>
        </w:rPr>
        <w:t>4</w:t>
      </w:r>
      <w:r w:rsidRPr="00CF1F4A">
        <w:rPr>
          <w:rFonts w:cs="Times New Roman"/>
          <w:i/>
          <w:iCs/>
          <w:sz w:val="20"/>
          <w:u w:val="single"/>
        </w:rPr>
        <w:t>1-</w:t>
      </w:r>
      <w:r w:rsidR="00B93F05" w:rsidRPr="00CF1F4A">
        <w:rPr>
          <w:rFonts w:cs="Times New Roman"/>
          <w:i/>
          <w:iCs/>
          <w:sz w:val="20"/>
          <w:u w:val="single"/>
        </w:rPr>
        <w:t>244</w:t>
      </w:r>
      <w:r w:rsidRPr="00CF1F4A">
        <w:rPr>
          <w:rFonts w:cs="Times New Roman"/>
          <w:i/>
          <w:iCs/>
          <w:sz w:val="20"/>
          <w:u w:val="single"/>
        </w:rPr>
        <w:t>.</w:t>
      </w:r>
    </w:p>
    <w:p w:rsidR="00B0601E" w:rsidRPr="00CF1F4A" w:rsidRDefault="00B0601E" w:rsidP="000C5F39">
      <w:pPr>
        <w:pStyle w:val="Title"/>
        <w:bidi w:val="0"/>
        <w:jc w:val="left"/>
        <w:rPr>
          <w:rFonts w:cs="Traditional Arabic"/>
          <w:sz w:val="20"/>
          <w:szCs w:val="20"/>
        </w:rPr>
      </w:pPr>
    </w:p>
    <w:p w:rsidR="00BC4685" w:rsidRPr="00CF1F4A" w:rsidRDefault="000C5F39" w:rsidP="00B0601E">
      <w:pPr>
        <w:pStyle w:val="Title"/>
        <w:bidi w:val="0"/>
        <w:jc w:val="left"/>
        <w:rPr>
          <w:rFonts w:cs="Traditional Arabic"/>
          <w:sz w:val="20"/>
          <w:szCs w:val="20"/>
        </w:rPr>
      </w:pPr>
      <w:r w:rsidRPr="00CF1F4A">
        <w:rPr>
          <w:rFonts w:cs="Traditional Arabic"/>
          <w:sz w:val="20"/>
          <w:szCs w:val="20"/>
        </w:rPr>
        <w:t>24.</w:t>
      </w:r>
      <w:r w:rsidR="00323A9A" w:rsidRPr="00CF1F4A">
        <w:rPr>
          <w:rFonts w:cs="Traditional Arabic"/>
          <w:sz w:val="20"/>
          <w:szCs w:val="20"/>
        </w:rPr>
        <w:t xml:space="preserve"> </w:t>
      </w:r>
      <w:r w:rsidR="00BC4685" w:rsidRPr="00CF1F4A">
        <w:rPr>
          <w:rFonts w:cs="Traditional Arabic"/>
          <w:sz w:val="20"/>
          <w:szCs w:val="20"/>
        </w:rPr>
        <w:t xml:space="preserve">Finance and Insurance </w:t>
      </w:r>
    </w:p>
    <w:p w:rsidR="00BC4685" w:rsidRPr="00CF1F4A" w:rsidRDefault="00BC4685" w:rsidP="00136F22">
      <w:pPr>
        <w:pStyle w:val="BodyText"/>
        <w:numPr>
          <w:ilvl w:val="0"/>
          <w:numId w:val="9"/>
        </w:numPr>
        <w:overflowPunct/>
        <w:autoSpaceDE/>
        <w:autoSpaceDN/>
        <w:adjustRightInd/>
        <w:jc w:val="lowKashida"/>
        <w:textAlignment w:val="auto"/>
      </w:pPr>
      <w:r w:rsidRPr="00CF1F4A">
        <w:t>There were 427 enterprises operating in financial intermediation activities in 2016.</w:t>
      </w:r>
      <w:r w:rsidRPr="00CF1F4A" w:rsidDel="00F11EE2">
        <w:t xml:space="preserve"> </w:t>
      </w:r>
    </w:p>
    <w:p w:rsidR="00240D0A" w:rsidRPr="00CF1F4A" w:rsidRDefault="00240D0A" w:rsidP="00240D0A">
      <w:pPr>
        <w:pStyle w:val="BodyText"/>
        <w:overflowPunct/>
        <w:autoSpaceDE/>
        <w:autoSpaceDN/>
        <w:adjustRightInd/>
        <w:ind w:left="360"/>
        <w:jc w:val="lowKashida"/>
        <w:textAlignment w:val="auto"/>
        <w:rPr>
          <w:sz w:val="10"/>
          <w:szCs w:val="10"/>
        </w:rPr>
      </w:pPr>
    </w:p>
    <w:p w:rsidR="00BC4685" w:rsidRPr="00CF1F4A" w:rsidRDefault="00BC4685" w:rsidP="00136F22">
      <w:pPr>
        <w:pStyle w:val="BodyText"/>
        <w:numPr>
          <w:ilvl w:val="0"/>
          <w:numId w:val="9"/>
        </w:numPr>
        <w:overflowPunct/>
        <w:autoSpaceDE/>
        <w:autoSpaceDN/>
        <w:adjustRightInd/>
        <w:jc w:val="lowKashida"/>
        <w:textAlignment w:val="auto"/>
      </w:pPr>
      <w:r w:rsidRPr="00CF1F4A">
        <w:t>There were 10,715 employed persons in financial intermediation enterprises</w:t>
      </w:r>
      <w:r w:rsidR="00B26A5C" w:rsidRPr="00CF1F4A">
        <w:t xml:space="preserve"> </w:t>
      </w:r>
      <w:r w:rsidRPr="00CF1F4A">
        <w:t>in 2016.</w:t>
      </w:r>
    </w:p>
    <w:p w:rsidR="00240D0A" w:rsidRPr="00CF1F4A" w:rsidRDefault="00240D0A" w:rsidP="00240D0A">
      <w:pPr>
        <w:pStyle w:val="BodyText"/>
        <w:overflowPunct/>
        <w:autoSpaceDE/>
        <w:autoSpaceDN/>
        <w:adjustRightInd/>
        <w:ind w:left="360"/>
        <w:jc w:val="lowKashida"/>
        <w:textAlignment w:val="auto"/>
        <w:rPr>
          <w:sz w:val="10"/>
          <w:szCs w:val="10"/>
        </w:rPr>
      </w:pPr>
    </w:p>
    <w:p w:rsidR="00BC4685" w:rsidRPr="00CF1F4A" w:rsidRDefault="00BC4685" w:rsidP="003936AC">
      <w:pPr>
        <w:pStyle w:val="BodyText"/>
        <w:numPr>
          <w:ilvl w:val="0"/>
          <w:numId w:val="9"/>
        </w:numPr>
        <w:overflowPunct/>
        <w:autoSpaceDE/>
        <w:autoSpaceDN/>
        <w:adjustRightInd/>
        <w:jc w:val="lowKashida"/>
        <w:textAlignment w:val="auto"/>
      </w:pPr>
      <w:r w:rsidRPr="00CF1F4A">
        <w:t>The value of output in financial intermediation enterprises was USD 737.6 million in 2016.</w:t>
      </w:r>
    </w:p>
    <w:p w:rsidR="00240D0A" w:rsidRPr="00CF1F4A" w:rsidRDefault="00240D0A" w:rsidP="00240D0A">
      <w:pPr>
        <w:pStyle w:val="BodyText"/>
        <w:overflowPunct/>
        <w:autoSpaceDE/>
        <w:autoSpaceDN/>
        <w:adjustRightInd/>
        <w:ind w:left="360"/>
        <w:jc w:val="lowKashida"/>
        <w:textAlignment w:val="auto"/>
        <w:rPr>
          <w:sz w:val="10"/>
          <w:szCs w:val="10"/>
        </w:rPr>
      </w:pPr>
    </w:p>
    <w:p w:rsidR="00240D0A" w:rsidRPr="00CF1F4A" w:rsidRDefault="00BC4685" w:rsidP="00BC4685">
      <w:pPr>
        <w:pStyle w:val="BodyText"/>
        <w:numPr>
          <w:ilvl w:val="0"/>
          <w:numId w:val="9"/>
        </w:numPr>
        <w:overflowPunct/>
        <w:autoSpaceDE/>
        <w:autoSpaceDN/>
        <w:adjustRightInd/>
        <w:jc w:val="lowKashida"/>
        <w:textAlignment w:val="auto"/>
      </w:pPr>
      <w:r w:rsidRPr="00CF1F4A">
        <w:t xml:space="preserve">The value of intermediate consumption in financial intermediation enterprises was USD 235.4 million in 2016. </w:t>
      </w:r>
    </w:p>
    <w:p w:rsidR="00BC4685" w:rsidRPr="00CF1F4A" w:rsidRDefault="00BC4685" w:rsidP="00240D0A">
      <w:pPr>
        <w:pStyle w:val="BodyText"/>
        <w:overflowPunct/>
        <w:autoSpaceDE/>
        <w:autoSpaceDN/>
        <w:adjustRightInd/>
        <w:ind w:left="360"/>
        <w:jc w:val="lowKashida"/>
        <w:textAlignment w:val="auto"/>
        <w:rPr>
          <w:sz w:val="10"/>
          <w:szCs w:val="10"/>
        </w:rPr>
      </w:pPr>
      <w:r w:rsidRPr="00CF1F4A">
        <w:rPr>
          <w:sz w:val="10"/>
          <w:szCs w:val="10"/>
        </w:rPr>
        <w:t xml:space="preserve"> </w:t>
      </w:r>
    </w:p>
    <w:p w:rsidR="00BC4685" w:rsidRPr="00CF1F4A" w:rsidRDefault="00BC4685" w:rsidP="00BC4685">
      <w:pPr>
        <w:pStyle w:val="BodyText"/>
        <w:numPr>
          <w:ilvl w:val="0"/>
          <w:numId w:val="9"/>
        </w:numPr>
        <w:overflowPunct/>
        <w:autoSpaceDE/>
        <w:autoSpaceDN/>
        <w:adjustRightInd/>
        <w:jc w:val="lowKashida"/>
        <w:textAlignment w:val="auto"/>
      </w:pPr>
      <w:r w:rsidRPr="00CF1F4A">
        <w:t xml:space="preserve">The gross value added in financial intermediation enterprises was USD 502.2 million in 2016.  </w:t>
      </w:r>
    </w:p>
    <w:p w:rsidR="003936AC" w:rsidRPr="00CF1F4A" w:rsidRDefault="003936AC" w:rsidP="00240D0A">
      <w:pPr>
        <w:pStyle w:val="BodyText"/>
        <w:overflowPunct/>
        <w:autoSpaceDE/>
        <w:autoSpaceDN/>
        <w:adjustRightInd/>
        <w:ind w:left="360"/>
        <w:jc w:val="lowKashida"/>
        <w:textAlignment w:val="auto"/>
        <w:rPr>
          <w:sz w:val="10"/>
          <w:szCs w:val="10"/>
        </w:rPr>
      </w:pPr>
    </w:p>
    <w:p w:rsidR="00BC4685" w:rsidRPr="00CF1F4A" w:rsidRDefault="00BC4685" w:rsidP="00A24E09">
      <w:pPr>
        <w:pStyle w:val="ListParagraph"/>
        <w:bidi w:val="0"/>
        <w:ind w:left="0"/>
        <w:jc w:val="lowKashida"/>
        <w:rPr>
          <w:rFonts w:cs="Times New Roman"/>
          <w:i/>
          <w:iCs/>
          <w:sz w:val="20"/>
          <w:u w:val="single"/>
        </w:rPr>
      </w:pPr>
      <w:r w:rsidRPr="00CF1F4A">
        <w:rPr>
          <w:rFonts w:cs="Times New Roman"/>
          <w:i/>
          <w:iCs/>
          <w:sz w:val="20"/>
          <w:u w:val="single"/>
        </w:rPr>
        <w:t>For more details on finance and insurance, see the tables in chapter 24.1 of the Arabic section, pages</w:t>
      </w:r>
      <w:r w:rsidRPr="00CF1F4A">
        <w:rPr>
          <w:rFonts w:cs="Times New Roman"/>
          <w:i/>
          <w:iCs/>
          <w:noProof w:val="0"/>
          <w:sz w:val="20"/>
          <w:u w:val="single"/>
          <w:rtl/>
        </w:rPr>
        <w:t xml:space="preserve"> </w:t>
      </w:r>
      <w:r w:rsidRPr="00CF1F4A">
        <w:rPr>
          <w:rFonts w:cs="Times New Roman"/>
          <w:i/>
          <w:iCs/>
          <w:sz w:val="20"/>
          <w:u w:val="single"/>
        </w:rPr>
        <w:t>2</w:t>
      </w:r>
      <w:r w:rsidR="00A24E09" w:rsidRPr="00CF1F4A">
        <w:rPr>
          <w:rFonts w:cs="Times New Roman"/>
          <w:i/>
          <w:iCs/>
          <w:sz w:val="20"/>
          <w:u w:val="single"/>
        </w:rPr>
        <w:t>4</w:t>
      </w:r>
      <w:r w:rsidRPr="00CF1F4A">
        <w:rPr>
          <w:rFonts w:cs="Times New Roman"/>
          <w:i/>
          <w:iCs/>
          <w:sz w:val="20"/>
          <w:u w:val="single"/>
        </w:rPr>
        <w:t>5-</w:t>
      </w:r>
      <w:r w:rsidR="00A24E09" w:rsidRPr="00CF1F4A">
        <w:rPr>
          <w:rFonts w:cs="Times New Roman"/>
          <w:i/>
          <w:iCs/>
          <w:sz w:val="20"/>
          <w:u w:val="single"/>
        </w:rPr>
        <w:t>248</w:t>
      </w:r>
      <w:r w:rsidRPr="00CF1F4A">
        <w:rPr>
          <w:rFonts w:cs="Times New Roman"/>
          <w:i/>
          <w:iCs/>
          <w:sz w:val="20"/>
          <w:u w:val="single"/>
        </w:rPr>
        <w:t>.</w:t>
      </w:r>
    </w:p>
    <w:p w:rsidR="00BC4685" w:rsidRPr="00CF1F4A" w:rsidRDefault="00BC4685" w:rsidP="00BC4685">
      <w:pPr>
        <w:pStyle w:val="ListParagraph"/>
        <w:bidi w:val="0"/>
        <w:ind w:left="0"/>
        <w:jc w:val="lowKashida"/>
        <w:rPr>
          <w:rFonts w:cs="Times New Roman"/>
          <w:i/>
          <w:iCs/>
          <w:sz w:val="20"/>
          <w:u w:val="single"/>
        </w:rPr>
      </w:pPr>
    </w:p>
    <w:p w:rsidR="00BC4685" w:rsidRPr="00CF1F4A" w:rsidRDefault="000C5F39" w:rsidP="000C5F39">
      <w:pPr>
        <w:pStyle w:val="Title"/>
        <w:bidi w:val="0"/>
        <w:jc w:val="left"/>
        <w:rPr>
          <w:rFonts w:cs="Traditional Arabic"/>
          <w:sz w:val="20"/>
          <w:szCs w:val="20"/>
        </w:rPr>
      </w:pPr>
      <w:r w:rsidRPr="00CF1F4A">
        <w:rPr>
          <w:rFonts w:cs="Traditional Arabic"/>
          <w:sz w:val="20"/>
          <w:szCs w:val="20"/>
        </w:rPr>
        <w:t>25.</w:t>
      </w:r>
      <w:r w:rsidR="00323A9A" w:rsidRPr="00CF1F4A">
        <w:rPr>
          <w:rFonts w:cs="Traditional Arabic"/>
          <w:sz w:val="20"/>
          <w:szCs w:val="20"/>
        </w:rPr>
        <w:t xml:space="preserve"> </w:t>
      </w:r>
      <w:r w:rsidR="00BC4685" w:rsidRPr="00CF1F4A">
        <w:rPr>
          <w:rFonts w:cs="Traditional Arabic"/>
          <w:sz w:val="20"/>
          <w:szCs w:val="20"/>
        </w:rPr>
        <w:t>International Investment Position</w:t>
      </w:r>
    </w:p>
    <w:p w:rsidR="00BC4685" w:rsidRPr="00CF1F4A" w:rsidRDefault="00BC4685" w:rsidP="00BC4685">
      <w:pPr>
        <w:pStyle w:val="BodyText"/>
        <w:numPr>
          <w:ilvl w:val="0"/>
          <w:numId w:val="3"/>
        </w:numPr>
        <w:overflowPunct/>
        <w:autoSpaceDE/>
        <w:autoSpaceDN/>
        <w:adjustRightInd/>
        <w:ind w:left="142" w:hanging="142"/>
        <w:jc w:val="lowKashida"/>
        <w:textAlignment w:val="auto"/>
      </w:pPr>
      <w:r w:rsidRPr="00CF1F4A">
        <w:t>The primary results of the IIP (external assets – foreign liabilities) for Palestine in 2016 revealed that the net IIP totaled about USD 1,173 million. This means that the various sectors of the Palestinian economy made more investments outside Palestine than investment in Palestine from abroad. Cash deposits of local banks in foreign banks and foreign exchange in the Palestinian economy contributed a major value to external assets, which represented 63.9% of their total value.</w:t>
      </w:r>
    </w:p>
    <w:p w:rsidR="00BC4685" w:rsidRPr="00CF1F4A" w:rsidRDefault="00BC4685" w:rsidP="00BC4685">
      <w:pPr>
        <w:pStyle w:val="BodyText"/>
        <w:overflowPunct/>
        <w:autoSpaceDE/>
        <w:autoSpaceDN/>
        <w:adjustRightInd/>
        <w:ind w:left="142"/>
        <w:jc w:val="lowKashida"/>
        <w:textAlignment w:val="auto"/>
        <w:rPr>
          <w:sz w:val="10"/>
          <w:szCs w:val="10"/>
        </w:rPr>
      </w:pPr>
      <w:r w:rsidRPr="00CF1F4A">
        <w:rPr>
          <w:sz w:val="10"/>
          <w:szCs w:val="10"/>
        </w:rPr>
        <w:t xml:space="preserve"> </w:t>
      </w:r>
    </w:p>
    <w:p w:rsidR="00BC4685" w:rsidRPr="00CF1F4A" w:rsidRDefault="00BC4685" w:rsidP="00BC4685">
      <w:pPr>
        <w:pStyle w:val="BodyText"/>
        <w:numPr>
          <w:ilvl w:val="0"/>
          <w:numId w:val="3"/>
        </w:numPr>
        <w:overflowPunct/>
        <w:autoSpaceDE/>
        <w:autoSpaceDN/>
        <w:adjustRightInd/>
        <w:ind w:left="142" w:hanging="142"/>
        <w:jc w:val="lowKashida"/>
        <w:textAlignment w:val="auto"/>
        <w:rPr>
          <w:rFonts w:cs="Times New Roman"/>
        </w:rPr>
      </w:pPr>
      <w:r w:rsidRPr="00CF1F4A">
        <w:rPr>
          <w:rFonts w:cs="Times New Roman"/>
        </w:rPr>
        <w:t>Total stocks of external assets for Palestine (stocks of residents in Palestine invested abroad) totaled USD 6,101 million. Foreign direct investment abroad contributed 6.6%, portfolio investments abroad totaled 18.2%, other foreign investments abroad totaled 70.1%, and reserve assets amounted to 5.1%.  At sectoral level, the external investments of the banking sector contributed a major value to external assets of 74.6%</w:t>
      </w:r>
      <w:r w:rsidRPr="00CF1F4A">
        <w:rPr>
          <w:rFonts w:cs="Times New Roman"/>
          <w:rtl/>
        </w:rPr>
        <w:t>.</w:t>
      </w:r>
    </w:p>
    <w:p w:rsidR="00BC4685" w:rsidRPr="00CF1F4A" w:rsidRDefault="00BC4685" w:rsidP="00BC4685">
      <w:pPr>
        <w:pStyle w:val="BodyText"/>
        <w:overflowPunct/>
        <w:autoSpaceDE/>
        <w:autoSpaceDN/>
        <w:adjustRightInd/>
        <w:jc w:val="lowKashida"/>
        <w:textAlignment w:val="auto"/>
        <w:rPr>
          <w:sz w:val="10"/>
          <w:szCs w:val="10"/>
          <w:rtl/>
        </w:rPr>
      </w:pPr>
    </w:p>
    <w:p w:rsidR="00BC4685" w:rsidRPr="00CF1F4A" w:rsidRDefault="00BC4685" w:rsidP="00BC4685">
      <w:pPr>
        <w:pStyle w:val="BodyText"/>
        <w:numPr>
          <w:ilvl w:val="0"/>
          <w:numId w:val="3"/>
        </w:numPr>
        <w:overflowPunct/>
        <w:autoSpaceDE/>
        <w:autoSpaceDN/>
        <w:adjustRightInd/>
        <w:ind w:left="142" w:hanging="142"/>
        <w:jc w:val="lowKashida"/>
        <w:textAlignment w:val="auto"/>
      </w:pPr>
      <w:r w:rsidRPr="00CF1F4A">
        <w:t xml:space="preserve">The total stocks of foreign liabilities in Palestine (stocks of non-residents invested in Palestine) totaled USD 4,928 million. Foreign direct investment in Palestine contributed 54%, portfolio investments in Palestine were 13.4%, and other investments totaled 32.6%.  </w:t>
      </w:r>
    </w:p>
    <w:p w:rsidR="00BC4685" w:rsidRPr="00CF1F4A" w:rsidRDefault="00BC4685" w:rsidP="00BC4685">
      <w:pPr>
        <w:pStyle w:val="BodyText"/>
        <w:overflowPunct/>
        <w:autoSpaceDE/>
        <w:autoSpaceDN/>
        <w:adjustRightInd/>
        <w:jc w:val="lowKashida"/>
        <w:textAlignment w:val="auto"/>
        <w:rPr>
          <w:sz w:val="10"/>
          <w:szCs w:val="10"/>
        </w:rPr>
      </w:pPr>
    </w:p>
    <w:p w:rsidR="00B9443D" w:rsidRPr="00CF1F4A" w:rsidRDefault="00BC4685" w:rsidP="003936AC">
      <w:pPr>
        <w:pStyle w:val="BodyText"/>
        <w:numPr>
          <w:ilvl w:val="0"/>
          <w:numId w:val="3"/>
        </w:numPr>
        <w:overflowPunct/>
        <w:autoSpaceDE/>
        <w:autoSpaceDN/>
        <w:adjustRightInd/>
        <w:ind w:left="142" w:hanging="142"/>
        <w:jc w:val="lowKashida"/>
        <w:textAlignment w:val="auto"/>
      </w:pPr>
      <w:r w:rsidRPr="00CF1F4A">
        <w:t>The total stocks of external debt on Palestinian economic sectors totaled USD 1,615 million. The debt on the general government sector contributed 64.7%, debt on the banking sector comprised 30.7%, debt on other sectors (non-financial, insurance enterprises, NGOs and household sectors) totaled 4.3</w:t>
      </w:r>
      <w:r w:rsidR="003936AC" w:rsidRPr="00CF1F4A">
        <w:t xml:space="preserve">%, </w:t>
      </w:r>
      <w:r w:rsidRPr="00CF1F4A">
        <w:t>whereas the lending between affiliated companies reached 0.3%</w:t>
      </w:r>
      <w:r w:rsidR="00B9443D" w:rsidRPr="00CF1F4A">
        <w:t xml:space="preserve">. </w:t>
      </w:r>
    </w:p>
    <w:p w:rsidR="002977AC" w:rsidRPr="00CF1F4A" w:rsidRDefault="002977AC" w:rsidP="00AE7EAC">
      <w:pPr>
        <w:pStyle w:val="ListParagraph"/>
        <w:bidi w:val="0"/>
        <w:ind w:left="0"/>
        <w:jc w:val="lowKashida"/>
        <w:rPr>
          <w:rFonts w:cs="Times New Roman"/>
          <w:i/>
          <w:iCs/>
          <w:sz w:val="20"/>
          <w:u w:val="single"/>
        </w:rPr>
      </w:pPr>
      <w:r w:rsidRPr="00CF1F4A">
        <w:rPr>
          <w:rFonts w:cs="Times New Roman"/>
          <w:i/>
          <w:iCs/>
          <w:sz w:val="20"/>
          <w:u w:val="single"/>
        </w:rPr>
        <w:t xml:space="preserve">For more details </w:t>
      </w:r>
      <w:r w:rsidR="00EF03E1" w:rsidRPr="00CF1F4A">
        <w:rPr>
          <w:rFonts w:cs="Times New Roman"/>
          <w:i/>
          <w:iCs/>
          <w:sz w:val="20"/>
          <w:u w:val="single"/>
        </w:rPr>
        <w:t xml:space="preserve">on the </w:t>
      </w:r>
      <w:r w:rsidRPr="00CF1F4A">
        <w:rPr>
          <w:rFonts w:cs="Times New Roman"/>
          <w:i/>
          <w:iCs/>
          <w:sz w:val="20"/>
          <w:u w:val="single"/>
        </w:rPr>
        <w:t xml:space="preserve"> international investment position, see the table in chapter 1.2</w:t>
      </w:r>
      <w:r w:rsidR="000C5F6C" w:rsidRPr="00CF1F4A">
        <w:rPr>
          <w:rFonts w:cs="Times New Roman"/>
          <w:i/>
          <w:iCs/>
          <w:sz w:val="20"/>
          <w:u w:val="single"/>
        </w:rPr>
        <w:t>5</w:t>
      </w:r>
      <w:r w:rsidRPr="00CF1F4A">
        <w:rPr>
          <w:rFonts w:cs="Times New Roman"/>
          <w:i/>
          <w:iCs/>
          <w:sz w:val="20"/>
          <w:u w:val="single"/>
        </w:rPr>
        <w:t xml:space="preserve"> of the Arabic section, pages</w:t>
      </w:r>
      <w:r w:rsidRPr="00CF1F4A">
        <w:rPr>
          <w:rFonts w:cs="Times New Roman"/>
          <w:i/>
          <w:iCs/>
          <w:noProof w:val="0"/>
          <w:sz w:val="20"/>
          <w:u w:val="single"/>
          <w:rtl/>
        </w:rPr>
        <w:t xml:space="preserve"> </w:t>
      </w:r>
      <w:r w:rsidR="0037768C" w:rsidRPr="00CF1F4A">
        <w:rPr>
          <w:rFonts w:cs="Times New Roman"/>
          <w:i/>
          <w:iCs/>
          <w:sz w:val="20"/>
          <w:u w:val="single"/>
        </w:rPr>
        <w:t>2</w:t>
      </w:r>
      <w:r w:rsidR="00AE7EAC" w:rsidRPr="00CF1F4A">
        <w:rPr>
          <w:rFonts w:cs="Times New Roman"/>
          <w:i/>
          <w:iCs/>
          <w:sz w:val="20"/>
          <w:u w:val="single"/>
        </w:rPr>
        <w:t>4</w:t>
      </w:r>
      <w:r w:rsidR="0037768C" w:rsidRPr="00CF1F4A">
        <w:rPr>
          <w:rFonts w:cs="Times New Roman"/>
          <w:i/>
          <w:iCs/>
          <w:sz w:val="20"/>
          <w:u w:val="single"/>
        </w:rPr>
        <w:t>9</w:t>
      </w:r>
      <w:r w:rsidR="00546837" w:rsidRPr="00CF1F4A">
        <w:rPr>
          <w:rFonts w:cs="Times New Roman"/>
          <w:i/>
          <w:iCs/>
          <w:sz w:val="20"/>
          <w:u w:val="single"/>
        </w:rPr>
        <w:t>-</w:t>
      </w:r>
      <w:r w:rsidR="0037768C" w:rsidRPr="00CF1F4A">
        <w:rPr>
          <w:rFonts w:cs="Times New Roman"/>
          <w:i/>
          <w:iCs/>
          <w:sz w:val="20"/>
          <w:u w:val="single"/>
        </w:rPr>
        <w:t>2</w:t>
      </w:r>
      <w:r w:rsidR="00AE7EAC" w:rsidRPr="00CF1F4A">
        <w:rPr>
          <w:rFonts w:cs="Times New Roman"/>
          <w:i/>
          <w:iCs/>
          <w:sz w:val="20"/>
          <w:u w:val="single"/>
        </w:rPr>
        <w:t>5</w:t>
      </w:r>
      <w:r w:rsidR="0037768C" w:rsidRPr="00CF1F4A">
        <w:rPr>
          <w:rFonts w:cs="Times New Roman"/>
          <w:i/>
          <w:iCs/>
          <w:sz w:val="20"/>
          <w:u w:val="single"/>
        </w:rPr>
        <w:t>2</w:t>
      </w:r>
    </w:p>
    <w:p w:rsidR="002977AC" w:rsidRPr="00CF1F4A" w:rsidRDefault="002977AC" w:rsidP="002977AC">
      <w:pPr>
        <w:pStyle w:val="Title"/>
        <w:bidi w:val="0"/>
        <w:ind w:left="98"/>
        <w:jc w:val="left"/>
        <w:rPr>
          <w:rFonts w:cs="Times New Roman"/>
          <w:i/>
          <w:iCs/>
          <w:sz w:val="20"/>
          <w:u w:val="single"/>
        </w:rPr>
      </w:pPr>
    </w:p>
    <w:p w:rsidR="00DE3043" w:rsidRPr="00CF1F4A" w:rsidRDefault="00B20D22" w:rsidP="009E661E">
      <w:pPr>
        <w:overflowPunct/>
        <w:autoSpaceDE/>
        <w:autoSpaceDN/>
        <w:adjustRightInd/>
        <w:textAlignment w:val="auto"/>
        <w:rPr>
          <w:rFonts w:cs="Simplified Arabic"/>
          <w:noProof/>
          <w:sz w:val="24"/>
          <w:szCs w:val="24"/>
        </w:rPr>
      </w:pPr>
      <w:r w:rsidRPr="00CF1F4A">
        <w:rPr>
          <w:szCs w:val="24"/>
        </w:rPr>
        <w:br w:type="page"/>
      </w:r>
    </w:p>
    <w:p w:rsidR="003A59C1" w:rsidRPr="00CF1F4A" w:rsidRDefault="00360305" w:rsidP="003A59C1">
      <w:pPr>
        <w:pStyle w:val="Title"/>
        <w:bidi w:val="0"/>
        <w:rPr>
          <w:szCs w:val="24"/>
        </w:rPr>
      </w:pPr>
      <w:r>
        <w:rPr>
          <w:szCs w:val="24"/>
        </w:rPr>
        <w:lastRenderedPageBreak/>
        <w:pict>
          <v:rect id="_x0000_s1028" style="position:absolute;left:0;text-align:left;margin-left:325pt;margin-top:-4.65pt;width:42pt;height:24pt;z-index:251655168">
            <v:textbox style="mso-next-textbox:#_x0000_s1028">
              <w:txbxContent>
                <w:p w:rsidR="00136F22" w:rsidRDefault="00136F22" w:rsidP="003065D4">
                  <w:pPr>
                    <w:jc w:val="center"/>
                    <w:rPr>
                      <w:b/>
                      <w:bCs/>
                      <w:sz w:val="28"/>
                      <w:szCs w:val="28"/>
                    </w:rPr>
                  </w:pPr>
                  <w:r>
                    <w:rPr>
                      <w:sz w:val="28"/>
                    </w:rPr>
                    <w:t>1.2</w:t>
                  </w:r>
                </w:p>
              </w:txbxContent>
            </v:textbox>
          </v:rect>
        </w:pict>
      </w:r>
      <w:r w:rsidR="00310AD8" w:rsidRPr="00CF1F4A">
        <w:rPr>
          <w:szCs w:val="24"/>
        </w:rPr>
        <w:t xml:space="preserve"> Palestinians in the </w:t>
      </w:r>
      <w:r w:rsidR="003A59C1" w:rsidRPr="00CF1F4A">
        <w:rPr>
          <w:szCs w:val="24"/>
        </w:rPr>
        <w:t xml:space="preserve">Occupied Palestinian </w:t>
      </w:r>
    </w:p>
    <w:p w:rsidR="00DC67CE" w:rsidRPr="00CF1F4A" w:rsidRDefault="003A59C1" w:rsidP="003A59C1">
      <w:pPr>
        <w:pStyle w:val="Title"/>
        <w:bidi w:val="0"/>
        <w:rPr>
          <w:szCs w:val="24"/>
        </w:rPr>
      </w:pPr>
      <w:r w:rsidRPr="00CF1F4A">
        <w:rPr>
          <w:szCs w:val="24"/>
        </w:rPr>
        <w:t xml:space="preserve">Territory </w:t>
      </w:r>
      <w:r w:rsidR="00310AD8" w:rsidRPr="00CF1F4A">
        <w:rPr>
          <w:szCs w:val="24"/>
        </w:rPr>
        <w:t>in 1948</w:t>
      </w:r>
    </w:p>
    <w:p w:rsidR="00C9334E" w:rsidRPr="00CF1F4A" w:rsidRDefault="00C9334E" w:rsidP="00C9334E">
      <w:pPr>
        <w:pStyle w:val="BodyText"/>
        <w:jc w:val="lowKashida"/>
        <w:rPr>
          <w:sz w:val="24"/>
          <w:szCs w:val="24"/>
        </w:rPr>
      </w:pPr>
    </w:p>
    <w:p w:rsidR="00C9334E" w:rsidRPr="00CF1F4A" w:rsidRDefault="00C9334E" w:rsidP="00AA587F">
      <w:pPr>
        <w:pStyle w:val="BodyText"/>
        <w:jc w:val="lowKashida"/>
      </w:pPr>
      <w:r w:rsidRPr="00CF1F4A">
        <w:t xml:space="preserve">The Palestine Catastrophe (Nakba) of 1948 resulted in the occupation of more than three quarters of Palestine. Thus, Israel was established on that part of Palestine occupied in 1948, </w:t>
      </w:r>
      <w:r w:rsidR="006B1447" w:rsidRPr="00CF1F4A">
        <w:t xml:space="preserve">which represents </w:t>
      </w:r>
      <w:r w:rsidRPr="00CF1F4A">
        <w:t xml:space="preserve">78% of historical Palestine. The Palestinian population who remained in their homeland came under direct and complete Israeli sovereignty.  They were considered Israeli citizens and </w:t>
      </w:r>
      <w:r w:rsidR="00AA587F" w:rsidRPr="00CF1F4A">
        <w:t xml:space="preserve">were </w:t>
      </w:r>
      <w:r w:rsidRPr="00CF1F4A">
        <w:t xml:space="preserve">subject to various policies and practices that sought to obliterate the Palestinian identity and culture. </w:t>
      </w:r>
    </w:p>
    <w:p w:rsidR="00C9334E" w:rsidRPr="00CF1F4A" w:rsidRDefault="00C9334E" w:rsidP="00C9334E">
      <w:pPr>
        <w:jc w:val="lowKashida"/>
        <w:rPr>
          <w:sz w:val="10"/>
          <w:szCs w:val="10"/>
        </w:rPr>
      </w:pPr>
    </w:p>
    <w:p w:rsidR="00C9334E" w:rsidRPr="00CF1F4A" w:rsidRDefault="00C9334E" w:rsidP="00C9334E">
      <w:pPr>
        <w:jc w:val="lowKashida"/>
      </w:pPr>
      <w:r w:rsidRPr="00CF1F4A">
        <w:t>Statistically speaking, all data on Palestinians living in this part of historical Palestine occupied in 1948 were considered part of the Israeli statistical system. Thus, all Israeli statistical issues and publications include data on the Palestinian population.</w:t>
      </w:r>
    </w:p>
    <w:p w:rsidR="00C9334E" w:rsidRPr="00CF1F4A" w:rsidRDefault="00C9334E" w:rsidP="00C9334E">
      <w:pPr>
        <w:jc w:val="lowKashida"/>
        <w:rPr>
          <w:sz w:val="10"/>
          <w:szCs w:val="10"/>
        </w:rPr>
      </w:pPr>
      <w:r w:rsidRPr="00CF1F4A">
        <w:rPr>
          <w:sz w:val="10"/>
          <w:szCs w:val="10"/>
        </w:rPr>
        <w:t xml:space="preserve"> </w:t>
      </w:r>
    </w:p>
    <w:p w:rsidR="00C9334E" w:rsidRPr="00CF1F4A" w:rsidRDefault="00C9334E" w:rsidP="003936AC">
      <w:pPr>
        <w:jc w:val="lowKashida"/>
      </w:pPr>
      <w:r w:rsidRPr="00CF1F4A">
        <w:t xml:space="preserve">The Palestinian Central Bureau of Statistics strove hard to compile, tabulate and disseminate statistical data on the Palestinians living in Israel despite the difficulties, including the scarcity of separate data available on those Palestinians, in addition to the complications associated with compiling statistical data about them. </w:t>
      </w:r>
    </w:p>
    <w:p w:rsidR="00C9334E" w:rsidRPr="00CF1F4A" w:rsidRDefault="00C9334E" w:rsidP="00C9334E">
      <w:pPr>
        <w:jc w:val="lowKashida"/>
        <w:rPr>
          <w:sz w:val="10"/>
          <w:szCs w:val="10"/>
        </w:rPr>
      </w:pPr>
    </w:p>
    <w:p w:rsidR="00C9334E" w:rsidRPr="00CF1F4A" w:rsidRDefault="00C9334E" w:rsidP="00C9334E">
      <w:pPr>
        <w:jc w:val="lowKashida"/>
      </w:pPr>
      <w:r w:rsidRPr="00CF1F4A">
        <w:t>Nevertheless, data disseminated in this chapter constitutes a general statistical diagnosis of the Palestinian reality in Israel.  This chapter presents statistics on the Palestinians in Israel including demographic, educational and labor force characteristics.  It is worth noting that such statistics are derived from the reality of living conditions in Israel. Thus, any possible comparisons for any of the statistical indicators should be made with those pertinent to the population in Israel and not with the Palestinians in other places. Some changes occurred in the data of this chapter which refers to revision and modification as in its sources.</w:t>
      </w:r>
    </w:p>
    <w:p w:rsidR="00C9334E" w:rsidRPr="00CF1F4A" w:rsidRDefault="00C9334E" w:rsidP="00C9334E">
      <w:pPr>
        <w:jc w:val="lowKashida"/>
        <w:rPr>
          <w:sz w:val="10"/>
          <w:szCs w:val="10"/>
        </w:rPr>
      </w:pPr>
      <w:bookmarkStart w:id="1" w:name="OLE_LINK3"/>
    </w:p>
    <w:p w:rsidR="00C9334E" w:rsidRPr="00CF1F4A" w:rsidRDefault="00C9334E" w:rsidP="00C9334E">
      <w:pPr>
        <w:jc w:val="both"/>
        <w:rPr>
          <w:b/>
          <w:bCs/>
        </w:rPr>
      </w:pPr>
      <w:r w:rsidRPr="00CF1F4A">
        <w:rPr>
          <w:b/>
          <w:bCs/>
        </w:rPr>
        <w:t xml:space="preserve">Population: </w:t>
      </w:r>
    </w:p>
    <w:bookmarkEnd w:id="1"/>
    <w:p w:rsidR="00731202" w:rsidRPr="00CF1F4A" w:rsidRDefault="00A024A9" w:rsidP="00094FD3">
      <w:pPr>
        <w:numPr>
          <w:ilvl w:val="0"/>
          <w:numId w:val="1"/>
        </w:numPr>
        <w:ind w:left="714" w:hanging="350"/>
        <w:jc w:val="both"/>
        <w:rPr>
          <w:noProof/>
        </w:rPr>
      </w:pPr>
      <w:r w:rsidRPr="00CF1F4A">
        <w:rPr>
          <w:noProof/>
        </w:rPr>
        <w:t xml:space="preserve">The total population of these areas at the end of </w:t>
      </w:r>
      <w:r w:rsidR="00094FD3" w:rsidRPr="00CF1F4A">
        <w:rPr>
          <w:noProof/>
        </w:rPr>
        <w:t>2016</w:t>
      </w:r>
      <w:r w:rsidRPr="00CF1F4A">
        <w:rPr>
          <w:noProof/>
        </w:rPr>
        <w:t xml:space="preserve"> was 1.4</w:t>
      </w:r>
      <w:r w:rsidR="00094FD3" w:rsidRPr="00CF1F4A">
        <w:rPr>
          <w:noProof/>
        </w:rPr>
        <w:t>21</w:t>
      </w:r>
      <w:r w:rsidRPr="00CF1F4A">
        <w:rPr>
          <w:noProof/>
        </w:rPr>
        <w:t xml:space="preserve"> million (excluding the residents of occupied East Jerusalem and the Golan Heights).</w:t>
      </w:r>
    </w:p>
    <w:p w:rsidR="00BB6D0F" w:rsidRPr="00CF1F4A" w:rsidRDefault="00BB6D0F" w:rsidP="003706DE">
      <w:pPr>
        <w:jc w:val="lowKashida"/>
        <w:rPr>
          <w:sz w:val="10"/>
          <w:szCs w:val="10"/>
        </w:rPr>
      </w:pPr>
    </w:p>
    <w:p w:rsidR="00731202" w:rsidRPr="00CF1F4A" w:rsidRDefault="00731202" w:rsidP="00094FD3">
      <w:pPr>
        <w:numPr>
          <w:ilvl w:val="0"/>
          <w:numId w:val="1"/>
        </w:numPr>
        <w:ind w:left="714" w:hanging="350"/>
        <w:jc w:val="both"/>
        <w:rPr>
          <w:noProof/>
        </w:rPr>
      </w:pPr>
      <w:r w:rsidRPr="00CF1F4A">
        <w:rPr>
          <w:noProof/>
        </w:rPr>
        <w:t>The total fertility rate for Palestinian women during 201</w:t>
      </w:r>
      <w:r w:rsidR="00094FD3" w:rsidRPr="00CF1F4A">
        <w:rPr>
          <w:noProof/>
        </w:rPr>
        <w:t>6</w:t>
      </w:r>
      <w:r w:rsidRPr="00CF1F4A">
        <w:rPr>
          <w:noProof/>
        </w:rPr>
        <w:t xml:space="preserve"> was 3.</w:t>
      </w:r>
      <w:r w:rsidR="00094FD3" w:rsidRPr="00CF1F4A">
        <w:rPr>
          <w:noProof/>
        </w:rPr>
        <w:t>11</w:t>
      </w:r>
      <w:r w:rsidRPr="00CF1F4A">
        <w:rPr>
          <w:noProof/>
        </w:rPr>
        <w:t xml:space="preserve"> births.</w:t>
      </w:r>
    </w:p>
    <w:p w:rsidR="00BB6D0F" w:rsidRPr="00CF1F4A" w:rsidRDefault="00BB6D0F" w:rsidP="003706DE">
      <w:pPr>
        <w:jc w:val="lowKashida"/>
        <w:rPr>
          <w:sz w:val="10"/>
          <w:szCs w:val="10"/>
        </w:rPr>
      </w:pPr>
    </w:p>
    <w:p w:rsidR="000414D0" w:rsidRPr="00CF1F4A" w:rsidRDefault="000414D0" w:rsidP="003936AC">
      <w:pPr>
        <w:numPr>
          <w:ilvl w:val="0"/>
          <w:numId w:val="1"/>
        </w:numPr>
        <w:ind w:left="714" w:hanging="350"/>
        <w:jc w:val="both"/>
        <w:rPr>
          <w:noProof/>
        </w:rPr>
      </w:pPr>
      <w:r w:rsidRPr="00CF1F4A">
        <w:rPr>
          <w:noProof/>
        </w:rPr>
        <w:t xml:space="preserve">The average size of </w:t>
      </w:r>
      <w:r w:rsidR="003936AC" w:rsidRPr="00CF1F4A">
        <w:rPr>
          <w:noProof/>
        </w:rPr>
        <w:t xml:space="preserve">the </w:t>
      </w:r>
      <w:r w:rsidRPr="00CF1F4A">
        <w:rPr>
          <w:noProof/>
        </w:rPr>
        <w:t>Palestinian household was 4.5 persons in 2016.</w:t>
      </w:r>
    </w:p>
    <w:p w:rsidR="00731202" w:rsidRPr="00CF1F4A" w:rsidRDefault="00731202" w:rsidP="003706DE">
      <w:pPr>
        <w:jc w:val="lowKashida"/>
        <w:rPr>
          <w:sz w:val="10"/>
          <w:szCs w:val="10"/>
        </w:rPr>
      </w:pPr>
    </w:p>
    <w:p w:rsidR="00A024A9" w:rsidRPr="00CF1F4A" w:rsidRDefault="00731202" w:rsidP="00731202">
      <w:pPr>
        <w:jc w:val="both"/>
        <w:rPr>
          <w:b/>
          <w:bCs/>
        </w:rPr>
      </w:pPr>
      <w:r w:rsidRPr="00CF1F4A">
        <w:rPr>
          <w:b/>
          <w:bCs/>
        </w:rPr>
        <w:t xml:space="preserve">Housing and Housing Conditions: </w:t>
      </w:r>
      <w:r w:rsidR="00A024A9" w:rsidRPr="00CF1F4A">
        <w:rPr>
          <w:b/>
          <w:bCs/>
        </w:rPr>
        <w:t xml:space="preserve"> </w:t>
      </w:r>
    </w:p>
    <w:p w:rsidR="00D6199C" w:rsidRPr="004B0720" w:rsidRDefault="00D6199C" w:rsidP="009A7CBC">
      <w:pPr>
        <w:numPr>
          <w:ilvl w:val="0"/>
          <w:numId w:val="1"/>
        </w:numPr>
        <w:ind w:left="714" w:hanging="350"/>
        <w:jc w:val="both"/>
        <w:rPr>
          <w:noProof/>
        </w:rPr>
      </w:pPr>
      <w:r>
        <w:rPr>
          <w:noProof/>
        </w:rPr>
        <w:t>89</w:t>
      </w:r>
      <w:r w:rsidRPr="004B0720">
        <w:rPr>
          <w:noProof/>
        </w:rPr>
        <w:t xml:space="preserve">.4% of Palestinian households In </w:t>
      </w:r>
      <w:r w:rsidR="009A7CBC">
        <w:rPr>
          <w:noProof/>
        </w:rPr>
        <w:t>2014</w:t>
      </w:r>
      <w:r w:rsidRPr="004B0720">
        <w:rPr>
          <w:noProof/>
        </w:rPr>
        <w:t xml:space="preserve"> owned the housing unit they </w:t>
      </w:r>
      <w:r>
        <w:rPr>
          <w:noProof/>
        </w:rPr>
        <w:t xml:space="preserve"> </w:t>
      </w:r>
      <w:r w:rsidRPr="004B0720">
        <w:rPr>
          <w:noProof/>
        </w:rPr>
        <w:t>lived in.</w:t>
      </w:r>
    </w:p>
    <w:p w:rsidR="00D6199C" w:rsidRDefault="00D6199C" w:rsidP="00D6199C">
      <w:pPr>
        <w:numPr>
          <w:ilvl w:val="0"/>
          <w:numId w:val="1"/>
        </w:numPr>
        <w:ind w:left="714" w:hanging="350"/>
        <w:jc w:val="both"/>
        <w:rPr>
          <w:noProof/>
        </w:rPr>
      </w:pPr>
      <w:r>
        <w:rPr>
          <w:noProof/>
        </w:rPr>
        <w:t>65.2</w:t>
      </w:r>
      <w:r w:rsidRPr="004B0720">
        <w:rPr>
          <w:noProof/>
        </w:rPr>
        <w:t>% of Palestinian households live</w:t>
      </w:r>
      <w:r>
        <w:rPr>
          <w:noProof/>
        </w:rPr>
        <w:t>s</w:t>
      </w:r>
      <w:r w:rsidRPr="004B0720">
        <w:rPr>
          <w:noProof/>
        </w:rPr>
        <w:t xml:space="preserve"> in </w:t>
      </w:r>
      <w:r>
        <w:rPr>
          <w:noProof/>
        </w:rPr>
        <w:t xml:space="preserve">a </w:t>
      </w:r>
      <w:r w:rsidRPr="004B0720">
        <w:rPr>
          <w:noProof/>
        </w:rPr>
        <w:t>hous</w:t>
      </w:r>
      <w:r>
        <w:rPr>
          <w:noProof/>
        </w:rPr>
        <w:t>e in 2014.</w:t>
      </w:r>
    </w:p>
    <w:p w:rsidR="009A2628" w:rsidRPr="00CF1F4A" w:rsidRDefault="00D6199C" w:rsidP="00D6199C">
      <w:pPr>
        <w:numPr>
          <w:ilvl w:val="0"/>
          <w:numId w:val="1"/>
        </w:numPr>
        <w:ind w:left="714" w:hanging="350"/>
        <w:jc w:val="both"/>
        <w:rPr>
          <w:b/>
          <w:bCs/>
        </w:rPr>
      </w:pPr>
      <w:r>
        <w:rPr>
          <w:noProof/>
        </w:rPr>
        <w:t>The</w:t>
      </w:r>
      <w:r w:rsidRPr="009A2628">
        <w:rPr>
          <w:noProof/>
        </w:rPr>
        <w:t xml:space="preserve"> </w:t>
      </w:r>
      <w:r w:rsidRPr="004B0720">
        <w:rPr>
          <w:noProof/>
        </w:rPr>
        <w:t>average</w:t>
      </w:r>
      <w:r>
        <w:rPr>
          <w:noProof/>
        </w:rPr>
        <w:t xml:space="preserve"> housing density was 0.99 persons per room in 2014 </w:t>
      </w:r>
      <w:r w:rsidR="009A2628" w:rsidRPr="00CF1F4A">
        <w:rPr>
          <w:noProof/>
        </w:rPr>
        <w:t xml:space="preserve"> </w:t>
      </w:r>
    </w:p>
    <w:p w:rsidR="009A2628" w:rsidRPr="00CF1F4A" w:rsidRDefault="009A2628" w:rsidP="003706DE">
      <w:pPr>
        <w:jc w:val="lowKashida"/>
        <w:rPr>
          <w:sz w:val="10"/>
          <w:szCs w:val="10"/>
        </w:rPr>
      </w:pPr>
    </w:p>
    <w:p w:rsidR="00C9334E" w:rsidRPr="00CF1F4A" w:rsidRDefault="0098425E" w:rsidP="009A2628">
      <w:pPr>
        <w:jc w:val="both"/>
        <w:rPr>
          <w:b/>
          <w:bCs/>
        </w:rPr>
      </w:pPr>
      <w:r w:rsidRPr="00CF1F4A">
        <w:rPr>
          <w:b/>
          <w:bCs/>
        </w:rPr>
        <w:t xml:space="preserve"> </w:t>
      </w:r>
      <w:r w:rsidR="00C9334E" w:rsidRPr="00CF1F4A">
        <w:rPr>
          <w:b/>
          <w:bCs/>
        </w:rPr>
        <w:t xml:space="preserve">Education: </w:t>
      </w:r>
    </w:p>
    <w:p w:rsidR="00F70417" w:rsidRPr="00CF1F4A" w:rsidRDefault="00F70417" w:rsidP="003936AC">
      <w:pPr>
        <w:numPr>
          <w:ilvl w:val="0"/>
          <w:numId w:val="1"/>
        </w:numPr>
        <w:ind w:left="714" w:hanging="350"/>
        <w:jc w:val="both"/>
        <w:rPr>
          <w:noProof/>
        </w:rPr>
      </w:pPr>
      <w:r w:rsidRPr="00CF1F4A">
        <w:rPr>
          <w:noProof/>
        </w:rPr>
        <w:t xml:space="preserve">There were </w:t>
      </w:r>
      <w:r w:rsidR="009A2628" w:rsidRPr="00CF1F4A">
        <w:rPr>
          <w:noProof/>
        </w:rPr>
        <w:t>62</w:t>
      </w:r>
      <w:r w:rsidR="00F6744D" w:rsidRPr="00CF1F4A">
        <w:rPr>
          <w:noProof/>
        </w:rPr>
        <w:t>7</w:t>
      </w:r>
      <w:r w:rsidRPr="00CF1F4A">
        <w:rPr>
          <w:noProof/>
        </w:rPr>
        <w:t xml:space="preserve"> primary schools, including </w:t>
      </w:r>
      <w:r w:rsidR="009A2628" w:rsidRPr="00CF1F4A">
        <w:rPr>
          <w:noProof/>
        </w:rPr>
        <w:t>54</w:t>
      </w:r>
      <w:r w:rsidR="00F6744D" w:rsidRPr="00CF1F4A">
        <w:rPr>
          <w:noProof/>
        </w:rPr>
        <w:t>9</w:t>
      </w:r>
      <w:r w:rsidRPr="00CF1F4A">
        <w:rPr>
          <w:noProof/>
        </w:rPr>
        <w:t xml:space="preserve"> primary schools</w:t>
      </w:r>
      <w:r w:rsidR="003936AC" w:rsidRPr="00CF1F4A">
        <w:rPr>
          <w:noProof/>
        </w:rPr>
        <w:t xml:space="preserve"> and </w:t>
      </w:r>
      <w:r w:rsidR="009A2628" w:rsidRPr="00CF1F4A">
        <w:rPr>
          <w:noProof/>
        </w:rPr>
        <w:t>7</w:t>
      </w:r>
      <w:r w:rsidR="00F6744D" w:rsidRPr="00CF1F4A">
        <w:rPr>
          <w:noProof/>
        </w:rPr>
        <w:t>8</w:t>
      </w:r>
      <w:r w:rsidRPr="00CF1F4A">
        <w:rPr>
          <w:noProof/>
        </w:rPr>
        <w:t xml:space="preserve"> schools for children with special needs, </w:t>
      </w:r>
      <w:r w:rsidR="009A2628" w:rsidRPr="00CF1F4A">
        <w:rPr>
          <w:noProof/>
        </w:rPr>
        <w:t>20</w:t>
      </w:r>
      <w:r w:rsidR="00F6744D" w:rsidRPr="00CF1F4A">
        <w:rPr>
          <w:noProof/>
        </w:rPr>
        <w:t>8</w:t>
      </w:r>
      <w:r w:rsidRPr="00CF1F4A">
        <w:rPr>
          <w:noProof/>
        </w:rPr>
        <w:t xml:space="preserve"> intermediate schools and </w:t>
      </w:r>
      <w:r w:rsidR="009A2628" w:rsidRPr="00CF1F4A">
        <w:rPr>
          <w:noProof/>
        </w:rPr>
        <w:t>3</w:t>
      </w:r>
      <w:r w:rsidR="00F6744D" w:rsidRPr="00CF1F4A">
        <w:rPr>
          <w:noProof/>
        </w:rPr>
        <w:t>72</w:t>
      </w:r>
      <w:r w:rsidRPr="00CF1F4A">
        <w:rPr>
          <w:noProof/>
        </w:rPr>
        <w:t xml:space="preserve"> secondary schools</w:t>
      </w:r>
      <w:r w:rsidR="009A2628" w:rsidRPr="00CF1F4A">
        <w:rPr>
          <w:noProof/>
        </w:rPr>
        <w:t xml:space="preserve"> in 201</w:t>
      </w:r>
      <w:r w:rsidR="00F6744D" w:rsidRPr="00CF1F4A">
        <w:rPr>
          <w:noProof/>
        </w:rPr>
        <w:t>6</w:t>
      </w:r>
      <w:r w:rsidR="009A2628" w:rsidRPr="00CF1F4A">
        <w:rPr>
          <w:noProof/>
        </w:rPr>
        <w:t>/201</w:t>
      </w:r>
      <w:r w:rsidR="00F6744D" w:rsidRPr="00CF1F4A">
        <w:rPr>
          <w:noProof/>
        </w:rPr>
        <w:t>7</w:t>
      </w:r>
      <w:r w:rsidRPr="00CF1F4A">
        <w:rPr>
          <w:noProof/>
        </w:rPr>
        <w:t>.</w:t>
      </w:r>
    </w:p>
    <w:p w:rsidR="00BB6D0F" w:rsidRPr="00CF1F4A" w:rsidRDefault="00BB6D0F" w:rsidP="00BB6D0F">
      <w:pPr>
        <w:ind w:left="714"/>
        <w:jc w:val="both"/>
        <w:rPr>
          <w:noProof/>
        </w:rPr>
      </w:pPr>
    </w:p>
    <w:p w:rsidR="00F70417" w:rsidRDefault="00F70417" w:rsidP="00F6744D">
      <w:pPr>
        <w:numPr>
          <w:ilvl w:val="0"/>
          <w:numId w:val="1"/>
        </w:numPr>
        <w:ind w:left="714" w:hanging="350"/>
        <w:jc w:val="both"/>
        <w:rPr>
          <w:noProof/>
        </w:rPr>
      </w:pPr>
      <w:r w:rsidRPr="00CF1F4A">
        <w:rPr>
          <w:noProof/>
        </w:rPr>
        <w:t xml:space="preserve">The average number of students per class in primary schools was </w:t>
      </w:r>
      <w:r w:rsidR="00F6744D" w:rsidRPr="00CF1F4A">
        <w:rPr>
          <w:noProof/>
        </w:rPr>
        <w:t>24.6</w:t>
      </w:r>
      <w:r w:rsidRPr="00CF1F4A">
        <w:rPr>
          <w:noProof/>
        </w:rPr>
        <w:t xml:space="preserve"> students, in  intermediate schools it was </w:t>
      </w:r>
      <w:r w:rsidR="00F6744D" w:rsidRPr="00CF1F4A">
        <w:rPr>
          <w:noProof/>
        </w:rPr>
        <w:t>27.2</w:t>
      </w:r>
      <w:r w:rsidRPr="00CF1F4A">
        <w:rPr>
          <w:noProof/>
        </w:rPr>
        <w:t xml:space="preserve"> students per class, and in high schools it was </w:t>
      </w:r>
      <w:r w:rsidR="00F6744D" w:rsidRPr="00CF1F4A">
        <w:rPr>
          <w:noProof/>
        </w:rPr>
        <w:t>25.6</w:t>
      </w:r>
      <w:r w:rsidRPr="00CF1F4A">
        <w:rPr>
          <w:noProof/>
        </w:rPr>
        <w:t xml:space="preserve"> students per class for the </w:t>
      </w:r>
      <w:r w:rsidR="00701E8B" w:rsidRPr="00CF1F4A">
        <w:rPr>
          <w:noProof/>
        </w:rPr>
        <w:t>201</w:t>
      </w:r>
      <w:r w:rsidR="00F6744D" w:rsidRPr="00CF1F4A">
        <w:rPr>
          <w:noProof/>
        </w:rPr>
        <w:t>6</w:t>
      </w:r>
      <w:r w:rsidRPr="00CF1F4A">
        <w:rPr>
          <w:noProof/>
        </w:rPr>
        <w:t>/</w:t>
      </w:r>
      <w:r w:rsidR="00701E8B" w:rsidRPr="00CF1F4A">
        <w:rPr>
          <w:noProof/>
        </w:rPr>
        <w:t>201</w:t>
      </w:r>
      <w:r w:rsidR="00F6744D" w:rsidRPr="00CF1F4A">
        <w:rPr>
          <w:noProof/>
        </w:rPr>
        <w:t>7</w:t>
      </w:r>
      <w:r w:rsidRPr="00CF1F4A">
        <w:rPr>
          <w:noProof/>
        </w:rPr>
        <w:t xml:space="preserve"> </w:t>
      </w:r>
      <w:r w:rsidR="00C82375" w:rsidRPr="00CF1F4A">
        <w:rPr>
          <w:noProof/>
        </w:rPr>
        <w:t xml:space="preserve">scholastic </w:t>
      </w:r>
      <w:r w:rsidRPr="00CF1F4A">
        <w:rPr>
          <w:noProof/>
        </w:rPr>
        <w:t>year.</w:t>
      </w:r>
    </w:p>
    <w:p w:rsidR="000D061C" w:rsidRDefault="000D061C" w:rsidP="000D061C">
      <w:pPr>
        <w:pStyle w:val="ListParagraph"/>
        <w:rPr>
          <w:rtl/>
        </w:rPr>
      </w:pPr>
    </w:p>
    <w:p w:rsidR="00530AED" w:rsidRDefault="00530AED" w:rsidP="000D061C">
      <w:pPr>
        <w:pStyle w:val="ListParagraph"/>
        <w:rPr>
          <w:rtl/>
        </w:rPr>
      </w:pPr>
    </w:p>
    <w:p w:rsidR="00530AED" w:rsidRDefault="00530AED" w:rsidP="000D061C">
      <w:pPr>
        <w:pStyle w:val="ListParagraph"/>
      </w:pPr>
    </w:p>
    <w:p w:rsidR="000D061C" w:rsidRPr="00CF1F4A" w:rsidRDefault="000D061C" w:rsidP="000D061C">
      <w:pPr>
        <w:jc w:val="both"/>
        <w:rPr>
          <w:b/>
          <w:bCs/>
        </w:rPr>
      </w:pPr>
      <w:r w:rsidRPr="00CF1F4A">
        <w:rPr>
          <w:b/>
          <w:bCs/>
        </w:rPr>
        <w:lastRenderedPageBreak/>
        <w:t>Labor:</w:t>
      </w:r>
    </w:p>
    <w:p w:rsidR="000D061C" w:rsidRPr="004B0720" w:rsidRDefault="000D061C" w:rsidP="000D061C">
      <w:pPr>
        <w:numPr>
          <w:ilvl w:val="0"/>
          <w:numId w:val="1"/>
        </w:numPr>
        <w:ind w:left="714" w:hanging="350"/>
        <w:jc w:val="both"/>
        <w:rPr>
          <w:noProof/>
        </w:rPr>
      </w:pPr>
      <w:r w:rsidRPr="004B0720">
        <w:rPr>
          <w:noProof/>
        </w:rPr>
        <w:t xml:space="preserve">The labor force participation rate among Palestinians (15 years and above) was </w:t>
      </w:r>
      <w:r>
        <w:rPr>
          <w:noProof/>
        </w:rPr>
        <w:t>48</w:t>
      </w:r>
      <w:r w:rsidRPr="004B0720">
        <w:rPr>
          <w:noProof/>
        </w:rPr>
        <w:t>.</w:t>
      </w:r>
      <w:r>
        <w:rPr>
          <w:noProof/>
        </w:rPr>
        <w:t>6</w:t>
      </w:r>
      <w:r w:rsidRPr="004B0720">
        <w:rPr>
          <w:noProof/>
        </w:rPr>
        <w:t xml:space="preserve">%: </w:t>
      </w:r>
      <w:r>
        <w:rPr>
          <w:noProof/>
        </w:rPr>
        <w:t>68.2</w:t>
      </w:r>
      <w:r w:rsidRPr="004B0720">
        <w:rPr>
          <w:noProof/>
        </w:rPr>
        <w:t xml:space="preserve">% for males, and </w:t>
      </w:r>
      <w:r>
        <w:rPr>
          <w:noProof/>
        </w:rPr>
        <w:t>29.0</w:t>
      </w:r>
      <w:r w:rsidRPr="004B0720">
        <w:rPr>
          <w:noProof/>
        </w:rPr>
        <w:t xml:space="preserve">% for females in </w:t>
      </w:r>
      <w:r>
        <w:rPr>
          <w:noProof/>
        </w:rPr>
        <w:t>2015</w:t>
      </w:r>
      <w:r w:rsidRPr="004B0720">
        <w:rPr>
          <w:noProof/>
        </w:rPr>
        <w:t>.</w:t>
      </w:r>
    </w:p>
    <w:p w:rsidR="000D061C" w:rsidRPr="00CF1F4A" w:rsidRDefault="000D061C" w:rsidP="000D061C">
      <w:pPr>
        <w:numPr>
          <w:ilvl w:val="0"/>
          <w:numId w:val="1"/>
        </w:numPr>
        <w:ind w:left="714" w:hanging="350"/>
        <w:jc w:val="both"/>
        <w:rPr>
          <w:noProof/>
        </w:rPr>
      </w:pPr>
      <w:r w:rsidRPr="004B0720">
        <w:rPr>
          <w:noProof/>
        </w:rPr>
        <w:t xml:space="preserve">The unemployment rate was </w:t>
      </w:r>
      <w:r>
        <w:rPr>
          <w:noProof/>
        </w:rPr>
        <w:t>10.5</w:t>
      </w:r>
      <w:r w:rsidRPr="004B0720">
        <w:rPr>
          <w:noProof/>
        </w:rPr>
        <w:t xml:space="preserve">%: </w:t>
      </w:r>
      <w:r>
        <w:rPr>
          <w:noProof/>
        </w:rPr>
        <w:t>13.7</w:t>
      </w:r>
      <w:r w:rsidRPr="004B0720">
        <w:rPr>
          <w:noProof/>
        </w:rPr>
        <w:t xml:space="preserve">% for females and </w:t>
      </w:r>
      <w:r>
        <w:rPr>
          <w:noProof/>
        </w:rPr>
        <w:t>9.1</w:t>
      </w:r>
      <w:r w:rsidRPr="004B0720">
        <w:rPr>
          <w:noProof/>
        </w:rPr>
        <w:t xml:space="preserve">% for males in </w:t>
      </w:r>
      <w:r>
        <w:rPr>
          <w:noProof/>
        </w:rPr>
        <w:t>2015</w:t>
      </w:r>
      <w:r w:rsidRPr="004B0720">
        <w:rPr>
          <w:noProof/>
        </w:rPr>
        <w:t>.</w:t>
      </w:r>
    </w:p>
    <w:p w:rsidR="000D061C" w:rsidRPr="00CF1F4A" w:rsidRDefault="000D061C" w:rsidP="000D061C">
      <w:pPr>
        <w:ind w:left="714"/>
        <w:jc w:val="both"/>
        <w:rPr>
          <w:noProof/>
        </w:rPr>
      </w:pPr>
    </w:p>
    <w:p w:rsidR="00C9334E" w:rsidRPr="00CF1F4A" w:rsidRDefault="00C9334E" w:rsidP="003706DE">
      <w:pPr>
        <w:jc w:val="lowKashida"/>
        <w:rPr>
          <w:sz w:val="10"/>
          <w:szCs w:val="10"/>
        </w:rPr>
      </w:pPr>
    </w:p>
    <w:p w:rsidR="00A2259B" w:rsidRPr="00CF1F4A" w:rsidRDefault="00C65AB2" w:rsidP="00A2259B">
      <w:pPr>
        <w:pStyle w:val="ListParagraph"/>
        <w:bidi w:val="0"/>
        <w:ind w:left="0"/>
        <w:jc w:val="lowKashida"/>
        <w:rPr>
          <w:rFonts w:cs="Times New Roman"/>
          <w:i/>
          <w:iCs/>
          <w:sz w:val="20"/>
          <w:u w:val="single"/>
        </w:rPr>
      </w:pPr>
      <w:r w:rsidRPr="00CF1F4A">
        <w:rPr>
          <w:rFonts w:cs="Times New Roman"/>
          <w:i/>
          <w:iCs/>
          <w:sz w:val="20"/>
          <w:u w:val="single"/>
        </w:rPr>
        <w:t>For more detail</w:t>
      </w:r>
      <w:r w:rsidR="00131DBB" w:rsidRPr="00CF1F4A">
        <w:rPr>
          <w:rFonts w:cs="Times New Roman"/>
          <w:i/>
          <w:iCs/>
          <w:sz w:val="20"/>
          <w:u w:val="single"/>
        </w:rPr>
        <w:t>s</w:t>
      </w:r>
      <w:r w:rsidRPr="00CF1F4A">
        <w:rPr>
          <w:rFonts w:cs="Times New Roman"/>
          <w:i/>
          <w:iCs/>
          <w:sz w:val="20"/>
          <w:u w:val="single"/>
        </w:rPr>
        <w:t xml:space="preserve"> </w:t>
      </w:r>
      <w:r w:rsidR="00131DBB" w:rsidRPr="00CF1F4A">
        <w:rPr>
          <w:rFonts w:cs="Times New Roman"/>
          <w:i/>
          <w:iCs/>
          <w:sz w:val="20"/>
          <w:u w:val="single"/>
        </w:rPr>
        <w:t xml:space="preserve">on </w:t>
      </w:r>
      <w:r w:rsidR="00A2259B" w:rsidRPr="00CF1F4A">
        <w:rPr>
          <w:rFonts w:cs="Times New Roman"/>
          <w:i/>
          <w:iCs/>
          <w:sz w:val="20"/>
          <w:u w:val="single"/>
        </w:rPr>
        <w:t xml:space="preserve">Palestinians in the </w:t>
      </w:r>
      <w:r w:rsidR="003A59C1" w:rsidRPr="00CF1F4A">
        <w:rPr>
          <w:rFonts w:cs="Times New Roman"/>
          <w:i/>
          <w:iCs/>
          <w:sz w:val="20"/>
          <w:u w:val="single"/>
        </w:rPr>
        <w:t>Occupied Palestinian Territory</w:t>
      </w:r>
      <w:r w:rsidR="00A2259B" w:rsidRPr="00CF1F4A">
        <w:rPr>
          <w:rFonts w:cs="Times New Roman"/>
          <w:i/>
          <w:iCs/>
          <w:sz w:val="20"/>
          <w:u w:val="single"/>
        </w:rPr>
        <w:t xml:space="preserve"> in 1948</w:t>
      </w:r>
      <w:r w:rsidR="000163BE" w:rsidRPr="00CF1F4A">
        <w:rPr>
          <w:rFonts w:cs="Times New Roman"/>
          <w:i/>
          <w:iCs/>
          <w:sz w:val="20"/>
          <w:u w:val="single"/>
        </w:rPr>
        <w:t>,</w:t>
      </w:r>
    </w:p>
    <w:p w:rsidR="00C65AB2" w:rsidRPr="00CF1F4A" w:rsidRDefault="0037009A" w:rsidP="000C1652">
      <w:pPr>
        <w:pStyle w:val="ListParagraph"/>
        <w:bidi w:val="0"/>
        <w:ind w:left="0"/>
        <w:jc w:val="lowKashida"/>
        <w:rPr>
          <w:rFonts w:cs="Times New Roman"/>
          <w:i/>
          <w:iCs/>
          <w:sz w:val="20"/>
          <w:u w:val="single"/>
        </w:rPr>
      </w:pPr>
      <w:r w:rsidRPr="00CF1F4A">
        <w:rPr>
          <w:rFonts w:cs="Times New Roman"/>
          <w:i/>
          <w:iCs/>
          <w:sz w:val="20"/>
          <w:u w:val="single"/>
        </w:rPr>
        <w:t>see</w:t>
      </w:r>
      <w:r w:rsidR="00131DBB" w:rsidRPr="00CF1F4A">
        <w:rPr>
          <w:rFonts w:cs="Times New Roman"/>
          <w:i/>
          <w:iCs/>
          <w:sz w:val="20"/>
          <w:u w:val="single"/>
        </w:rPr>
        <w:t xml:space="preserve"> the </w:t>
      </w:r>
      <w:r w:rsidRPr="00CF1F4A">
        <w:rPr>
          <w:rFonts w:cs="Times New Roman"/>
          <w:i/>
          <w:iCs/>
          <w:sz w:val="20"/>
          <w:u w:val="single"/>
        </w:rPr>
        <w:t xml:space="preserve"> tables </w:t>
      </w:r>
      <w:r w:rsidR="00C65AB2" w:rsidRPr="00CF1F4A">
        <w:rPr>
          <w:rFonts w:cs="Times New Roman"/>
          <w:i/>
          <w:iCs/>
          <w:sz w:val="20"/>
          <w:u w:val="single"/>
        </w:rPr>
        <w:t xml:space="preserve">in chapter </w:t>
      </w:r>
      <w:r w:rsidR="005910AE" w:rsidRPr="00CF1F4A">
        <w:rPr>
          <w:rFonts w:cs="Times New Roman"/>
          <w:i/>
          <w:iCs/>
          <w:sz w:val="20"/>
          <w:u w:val="single"/>
        </w:rPr>
        <w:t xml:space="preserve">2 </w:t>
      </w:r>
      <w:r w:rsidR="00131DBB" w:rsidRPr="00CF1F4A">
        <w:rPr>
          <w:rFonts w:cs="Times New Roman"/>
          <w:i/>
          <w:iCs/>
          <w:sz w:val="20"/>
          <w:u w:val="single"/>
        </w:rPr>
        <w:t>of the</w:t>
      </w:r>
      <w:r w:rsidR="00C65AB2" w:rsidRPr="00CF1F4A">
        <w:rPr>
          <w:rFonts w:cs="Times New Roman"/>
          <w:i/>
          <w:iCs/>
          <w:sz w:val="20"/>
          <w:u w:val="single"/>
        </w:rPr>
        <w:t xml:space="preserve"> </w:t>
      </w:r>
      <w:r w:rsidR="00654A09" w:rsidRPr="00CF1F4A">
        <w:rPr>
          <w:rFonts w:cs="Times New Roman"/>
          <w:i/>
          <w:iCs/>
          <w:sz w:val="20"/>
          <w:u w:val="single"/>
        </w:rPr>
        <w:t>Arabic</w:t>
      </w:r>
      <w:r w:rsidR="00C65AB2" w:rsidRPr="00CF1F4A">
        <w:rPr>
          <w:rFonts w:cs="Times New Roman"/>
          <w:i/>
          <w:iCs/>
          <w:sz w:val="20"/>
          <w:u w:val="single"/>
        </w:rPr>
        <w:t xml:space="preserve"> </w:t>
      </w:r>
      <w:r w:rsidR="00131DBB" w:rsidRPr="00CF1F4A">
        <w:rPr>
          <w:rFonts w:cs="Times New Roman"/>
          <w:i/>
          <w:iCs/>
          <w:sz w:val="20"/>
          <w:u w:val="single"/>
        </w:rPr>
        <w:t xml:space="preserve">section, </w:t>
      </w:r>
      <w:r w:rsidR="00C65AB2" w:rsidRPr="00CF1F4A">
        <w:rPr>
          <w:rFonts w:cs="Times New Roman"/>
          <w:i/>
          <w:iCs/>
          <w:sz w:val="20"/>
          <w:u w:val="single"/>
        </w:rPr>
        <w:t>page</w:t>
      </w:r>
      <w:r w:rsidR="00131DBB" w:rsidRPr="00CF1F4A">
        <w:rPr>
          <w:rFonts w:cs="Times New Roman"/>
          <w:i/>
          <w:iCs/>
          <w:sz w:val="20"/>
          <w:u w:val="single"/>
        </w:rPr>
        <w:t xml:space="preserve">s </w:t>
      </w:r>
      <w:r w:rsidR="00494BA7" w:rsidRPr="00CF1F4A">
        <w:rPr>
          <w:rFonts w:cs="Times New Roman"/>
          <w:i/>
          <w:iCs/>
          <w:sz w:val="20"/>
          <w:u w:val="single"/>
        </w:rPr>
        <w:t>253</w:t>
      </w:r>
      <w:r w:rsidR="00C65AB2" w:rsidRPr="00CF1F4A">
        <w:rPr>
          <w:rFonts w:cs="Times New Roman"/>
          <w:i/>
          <w:iCs/>
          <w:sz w:val="20"/>
          <w:u w:val="single"/>
        </w:rPr>
        <w:t>-</w:t>
      </w:r>
      <w:r w:rsidR="000C1652">
        <w:rPr>
          <w:rFonts w:cs="Times New Roman"/>
          <w:i/>
          <w:iCs/>
          <w:sz w:val="20"/>
          <w:u w:val="single"/>
        </w:rPr>
        <w:t>294</w:t>
      </w:r>
      <w:r w:rsidR="00131DBB" w:rsidRPr="00CF1F4A">
        <w:rPr>
          <w:rFonts w:cs="Times New Roman"/>
          <w:i/>
          <w:iCs/>
          <w:sz w:val="20"/>
          <w:u w:val="single"/>
        </w:rPr>
        <w:t>.</w:t>
      </w:r>
    </w:p>
    <w:p w:rsidR="00C65AB2" w:rsidRPr="00CF1F4A" w:rsidRDefault="00C65AB2" w:rsidP="00A2259B">
      <w:pPr>
        <w:pStyle w:val="ListParagraph"/>
        <w:bidi w:val="0"/>
        <w:ind w:left="0"/>
        <w:jc w:val="lowKashida"/>
        <w:rPr>
          <w:rFonts w:cs="Times New Roman"/>
          <w:i/>
          <w:iCs/>
          <w:sz w:val="20"/>
          <w:u w:val="single"/>
        </w:rPr>
      </w:pPr>
    </w:p>
    <w:p w:rsidR="00B5698C" w:rsidRPr="00CF1F4A" w:rsidRDefault="00B5698C" w:rsidP="00B5698C">
      <w:pPr>
        <w:pStyle w:val="Header"/>
        <w:tabs>
          <w:tab w:val="left" w:pos="720"/>
        </w:tabs>
        <w:jc w:val="center"/>
        <w:rPr>
          <w:b/>
          <w:bCs/>
          <w:sz w:val="26"/>
          <w:szCs w:val="26"/>
        </w:rPr>
      </w:pPr>
    </w:p>
    <w:p w:rsidR="00F70417" w:rsidRPr="00CF1F4A" w:rsidRDefault="00F70417" w:rsidP="00F70417">
      <w:pPr>
        <w:pStyle w:val="ListParagraph"/>
        <w:bidi w:val="0"/>
      </w:pPr>
    </w:p>
    <w:p w:rsidR="00F70417" w:rsidRPr="00CF1F4A" w:rsidRDefault="00F70417" w:rsidP="00F70417">
      <w:pPr>
        <w:jc w:val="both"/>
        <w:rPr>
          <w:noProof/>
        </w:rPr>
      </w:pPr>
    </w:p>
    <w:p w:rsidR="00F70417" w:rsidRPr="00CF1F4A" w:rsidRDefault="00F70417" w:rsidP="00F70417">
      <w:pPr>
        <w:pStyle w:val="ListParagraph"/>
        <w:rPr>
          <w:rtl/>
        </w:rPr>
      </w:pPr>
    </w:p>
    <w:p w:rsidR="00F70417" w:rsidRPr="00CF1F4A" w:rsidRDefault="00F70417" w:rsidP="00F70417">
      <w:pPr>
        <w:ind w:left="-14"/>
        <w:jc w:val="both"/>
        <w:rPr>
          <w:noProof/>
          <w:sz w:val="10"/>
          <w:szCs w:val="10"/>
        </w:rPr>
      </w:pPr>
    </w:p>
    <w:p w:rsidR="00B5698C" w:rsidRPr="00CF1F4A" w:rsidRDefault="00B5698C" w:rsidP="00B5698C">
      <w:pPr>
        <w:pStyle w:val="Header"/>
        <w:tabs>
          <w:tab w:val="left" w:pos="720"/>
        </w:tabs>
        <w:jc w:val="center"/>
        <w:rPr>
          <w:b/>
          <w:bCs/>
          <w:sz w:val="26"/>
          <w:szCs w:val="26"/>
        </w:rPr>
      </w:pPr>
    </w:p>
    <w:p w:rsidR="005F2A7D" w:rsidRPr="00CF1F4A" w:rsidRDefault="005F2A7D" w:rsidP="005F2A7D">
      <w:pPr>
        <w:ind w:left="-14"/>
        <w:jc w:val="both"/>
        <w:rPr>
          <w:noProof/>
        </w:rPr>
      </w:pPr>
    </w:p>
    <w:p w:rsidR="005F2A7D" w:rsidRPr="00CF1F4A" w:rsidRDefault="005F2A7D" w:rsidP="005F2A7D">
      <w:pPr>
        <w:ind w:left="-14"/>
        <w:jc w:val="both"/>
        <w:rPr>
          <w:noProof/>
          <w:sz w:val="10"/>
          <w:szCs w:val="10"/>
        </w:rPr>
      </w:pPr>
    </w:p>
    <w:p w:rsidR="005F2A7D" w:rsidRPr="00CF1F4A" w:rsidRDefault="005F2A7D" w:rsidP="005F2A7D">
      <w:pPr>
        <w:ind w:left="-14"/>
        <w:jc w:val="both"/>
        <w:rPr>
          <w:noProof/>
          <w:sz w:val="10"/>
          <w:szCs w:val="10"/>
        </w:rPr>
      </w:pPr>
    </w:p>
    <w:p w:rsidR="003640B2" w:rsidRPr="00CF1F4A" w:rsidRDefault="003640B2">
      <w:pPr>
        <w:overflowPunct/>
        <w:autoSpaceDE/>
        <w:autoSpaceDN/>
        <w:adjustRightInd/>
        <w:textAlignment w:val="auto"/>
        <w:rPr>
          <w:b/>
          <w:bCs/>
          <w:sz w:val="24"/>
          <w:szCs w:val="24"/>
        </w:rPr>
      </w:pPr>
      <w:r w:rsidRPr="00CF1F4A">
        <w:rPr>
          <w:b/>
          <w:bCs/>
          <w:sz w:val="24"/>
          <w:szCs w:val="24"/>
        </w:rPr>
        <w:br w:type="page"/>
      </w:r>
    </w:p>
    <w:p w:rsidR="00B5698C" w:rsidRPr="00CF1F4A" w:rsidRDefault="00C65AB2" w:rsidP="007253BE">
      <w:pPr>
        <w:pStyle w:val="Title"/>
        <w:bidi w:val="0"/>
      </w:pPr>
      <w:r w:rsidRPr="00CF1F4A">
        <w:lastRenderedPageBreak/>
        <w:t>Palestinians in the Diaspora</w:t>
      </w:r>
    </w:p>
    <w:p w:rsidR="00B5698C" w:rsidRPr="00CF1F4A" w:rsidRDefault="00360305" w:rsidP="00B5698C">
      <w:pPr>
        <w:jc w:val="both"/>
        <w:rPr>
          <w:sz w:val="10"/>
          <w:szCs w:val="10"/>
        </w:rPr>
      </w:pPr>
      <w:r w:rsidRPr="00360305">
        <w:rPr>
          <w:noProof/>
        </w:rPr>
        <w:pict>
          <v:rect id="_x0000_s1027" style="position:absolute;left:0;text-align:left;margin-left:303.35pt;margin-top:-22.8pt;width:42pt;height:24pt;z-index:251654144">
            <v:textbox style="mso-next-textbox:#_x0000_s1027">
              <w:txbxContent>
                <w:p w:rsidR="00136F22" w:rsidRDefault="00136F22" w:rsidP="003065D4">
                  <w:pPr>
                    <w:jc w:val="center"/>
                    <w:rPr>
                      <w:b/>
                      <w:bCs/>
                      <w:sz w:val="28"/>
                      <w:szCs w:val="28"/>
                    </w:rPr>
                  </w:pPr>
                  <w:r>
                    <w:rPr>
                      <w:b/>
                      <w:bCs/>
                      <w:sz w:val="28"/>
                      <w:szCs w:val="28"/>
                    </w:rPr>
                    <w:t>1.3</w:t>
                  </w:r>
                </w:p>
              </w:txbxContent>
            </v:textbox>
          </v:rect>
        </w:pict>
      </w:r>
    </w:p>
    <w:p w:rsidR="00DC67CE" w:rsidRPr="00CF1F4A" w:rsidRDefault="00DC67CE" w:rsidP="00DC67CE">
      <w:pPr>
        <w:ind w:left="-14"/>
        <w:jc w:val="both"/>
        <w:rPr>
          <w:noProof/>
        </w:rPr>
      </w:pPr>
      <w:bookmarkStart w:id="2" w:name="OLE_LINK1"/>
    </w:p>
    <w:p w:rsidR="00C9334E" w:rsidRPr="00CF1F4A" w:rsidRDefault="00C9334E" w:rsidP="00C82375">
      <w:pPr>
        <w:jc w:val="lowKashida"/>
      </w:pPr>
      <w:r w:rsidRPr="00CF1F4A">
        <w:t>The Nakba (Catastrophe) constituted a black period in Palestinian history,</w:t>
      </w:r>
      <w:r w:rsidRPr="00CF1F4A">
        <w:rPr>
          <w:rFonts w:hint="cs"/>
          <w:rtl/>
          <w:lang w:val="en-GB"/>
        </w:rPr>
        <w:t xml:space="preserve"> </w:t>
      </w:r>
      <w:r w:rsidRPr="00CF1F4A">
        <w:t>when the Palestinian people were confronted with indescribable acts of oppression, dispossession and suffering.</w:t>
      </w:r>
    </w:p>
    <w:p w:rsidR="00C9334E" w:rsidRPr="00CF1F4A" w:rsidRDefault="00C9334E" w:rsidP="00C9334E">
      <w:pPr>
        <w:jc w:val="lowKashida"/>
        <w:rPr>
          <w:sz w:val="10"/>
          <w:szCs w:val="10"/>
        </w:rPr>
      </w:pPr>
    </w:p>
    <w:p w:rsidR="00C9334E" w:rsidRPr="00CF1F4A" w:rsidRDefault="00C9334E" w:rsidP="008072F4">
      <w:pPr>
        <w:jc w:val="lowKashida"/>
      </w:pPr>
      <w:r w:rsidRPr="00CF1F4A">
        <w:t xml:space="preserve">Palestinians who sought refuge in countries outside Palestine encountered all types of abuse and agonies.  On the one hand, they were uprooted from their homeland and deprived of their property and homes.  On the other hand, they sought refuge in countries where they had no power or will. At the time of their dispossession, the Palestinians felt that their expulsion and refugee status would be temporary. They believed that their situation would not last more than several weeks or months, after which they would return in victory and with their honor restored. Thus, they paid little attention to their living circumstances in their host countries. </w:t>
      </w:r>
      <w:r w:rsidR="00C82FEC" w:rsidRPr="00CF1F4A">
        <w:t xml:space="preserve">Their hearts remained with Palestine, waiting for the signal for return. Year after another they realized that the Nakba </w:t>
      </w:r>
      <w:r w:rsidRPr="00CF1F4A">
        <w:t>would last longer than expected, and that Palestinians would endure more pain and suffering. Popular movements and organizations emerged to defend the rights of the Palestinians wherever they were located. The situation remained unchanged with no unified political and powerful entity representing all the Palestinians of the Diaspora until the foundation of the Palestine Liberation Organization (PLO). The emergence of the Palestinian revolt in 1965 caught the attention of most countries and gained their recognition. The PLO then became the sole political representative of all Palestinians everywhere, in spite of the fact that part of the Palestinian territory was subject to Arab administration (Jordan in the West Bank and Egypt in Gaza Strip).</w:t>
      </w:r>
    </w:p>
    <w:p w:rsidR="00C9334E" w:rsidRPr="00CF1F4A" w:rsidRDefault="00C9334E" w:rsidP="00C9334E">
      <w:pPr>
        <w:jc w:val="lowKashida"/>
        <w:rPr>
          <w:sz w:val="10"/>
          <w:szCs w:val="10"/>
        </w:rPr>
      </w:pPr>
    </w:p>
    <w:p w:rsidR="00C9334E" w:rsidRPr="00CF1F4A" w:rsidRDefault="00C9334E" w:rsidP="00C01D28">
      <w:pPr>
        <w:jc w:val="lowKashida"/>
      </w:pPr>
      <w:r w:rsidRPr="00CF1F4A">
        <w:t xml:space="preserve">PCBS has been constantly working on collecting, tabulating and disseminating statistical data on the Palestinians both in Palestine and in the Diaspora.  This task always </w:t>
      </w:r>
      <w:r w:rsidR="00541629" w:rsidRPr="00CF1F4A">
        <w:t xml:space="preserve">faces </w:t>
      </w:r>
      <w:r w:rsidRPr="00CF1F4A">
        <w:t>several constraints such as the shortage of separate</w:t>
      </w:r>
      <w:r w:rsidR="00C01D28" w:rsidRPr="00CF1F4A">
        <w:t xml:space="preserve"> and </w:t>
      </w:r>
      <w:proofErr w:type="spellStart"/>
      <w:r w:rsidR="00C01D28" w:rsidRPr="00CF1F4A">
        <w:t>independant</w:t>
      </w:r>
      <w:proofErr w:type="spellEnd"/>
      <w:r w:rsidRPr="00CF1F4A">
        <w:t xml:space="preserve"> data on Palestinians in the Diaspora, as well as </w:t>
      </w:r>
      <w:r w:rsidR="007F4A1F" w:rsidRPr="00CF1F4A">
        <w:t>the</w:t>
      </w:r>
      <w:r w:rsidRPr="00CF1F4A">
        <w:t xml:space="preserve"> </w:t>
      </w:r>
      <w:r w:rsidR="007F4A1F" w:rsidRPr="00CF1F4A">
        <w:t>outdate</w:t>
      </w:r>
      <w:r w:rsidR="00C01D28" w:rsidRPr="00CF1F4A">
        <w:t>d</w:t>
      </w:r>
      <w:r w:rsidRPr="00CF1F4A">
        <w:t xml:space="preserve"> </w:t>
      </w:r>
      <w:r w:rsidR="007F4A1F" w:rsidRPr="00CF1F4A">
        <w:t xml:space="preserve">available </w:t>
      </w:r>
      <w:r w:rsidRPr="00CF1F4A">
        <w:t xml:space="preserve">data; </w:t>
      </w:r>
      <w:r w:rsidR="00C01D28" w:rsidRPr="00CF1F4A">
        <w:t xml:space="preserve">which is </w:t>
      </w:r>
      <w:r w:rsidR="00C82FEC" w:rsidRPr="00CF1F4A">
        <w:t>mainly excerpted</w:t>
      </w:r>
      <w:bookmarkStart w:id="3" w:name="_GoBack"/>
      <w:bookmarkEnd w:id="3"/>
      <w:r w:rsidR="00C82FEC" w:rsidRPr="00CF1F4A">
        <w:t xml:space="preserve"> from</w:t>
      </w:r>
      <w:r w:rsidRPr="00CF1F4A">
        <w:t xml:space="preserve"> UNRWA records.  We hope to overcome </w:t>
      </w:r>
      <w:r w:rsidR="00C01D28" w:rsidRPr="00CF1F4A">
        <w:t xml:space="preserve">those </w:t>
      </w:r>
      <w:r w:rsidRPr="00CF1F4A">
        <w:t xml:space="preserve">constraints in the near future.  </w:t>
      </w:r>
    </w:p>
    <w:p w:rsidR="00C9334E" w:rsidRPr="00CF1F4A" w:rsidRDefault="00C9334E" w:rsidP="00C9334E">
      <w:pPr>
        <w:jc w:val="lowKashida"/>
        <w:rPr>
          <w:sz w:val="10"/>
          <w:szCs w:val="10"/>
        </w:rPr>
      </w:pPr>
    </w:p>
    <w:p w:rsidR="00C9334E" w:rsidRPr="00CF1F4A" w:rsidRDefault="00C9334E" w:rsidP="00C9334E">
      <w:pPr>
        <w:jc w:val="lowKashida"/>
      </w:pPr>
      <w:r w:rsidRPr="00CF1F4A">
        <w:t xml:space="preserve">The difficulty in creating a statistical database about Palestinians in the Diaspora lies in their dispersion both among a number of countries and within different areas of such countries. The Palestinians did not consider their communities as isolated ghettos; instead, they participated in the life of the countries they resided in, but retained their distinctiveness and identity at the same time.  The civil and administrative laws of the host countries made this task more difficult, by preventing integration with the population that resides there. </w:t>
      </w:r>
    </w:p>
    <w:p w:rsidR="00C9334E" w:rsidRPr="00CF1F4A" w:rsidRDefault="00C9334E" w:rsidP="00C9334E">
      <w:pPr>
        <w:jc w:val="lowKashida"/>
        <w:rPr>
          <w:sz w:val="10"/>
          <w:szCs w:val="10"/>
        </w:rPr>
      </w:pPr>
    </w:p>
    <w:p w:rsidR="00C9334E" w:rsidRPr="00CF1F4A" w:rsidRDefault="00C9334E" w:rsidP="00C9334E">
      <w:pPr>
        <w:jc w:val="lowKashida"/>
      </w:pPr>
      <w:r w:rsidRPr="00CF1F4A">
        <w:t>These hindrances and other subjective complications made it difficult to provide consistent and comprehensive statistical data on all Palestinians in the Diaspora.</w:t>
      </w:r>
    </w:p>
    <w:p w:rsidR="00C9334E" w:rsidRPr="00CF1F4A" w:rsidRDefault="00C9334E" w:rsidP="00C9334E">
      <w:pPr>
        <w:jc w:val="lowKashida"/>
      </w:pPr>
      <w:r w:rsidRPr="00CF1F4A">
        <w:t>This chapter puts forth a set of data and statistical indicators dealing with population, employment, education, health and living and housing conditions for the Palestinians living in the Diaspora, especially in Jordan, Syria and Lebanon.</w:t>
      </w:r>
    </w:p>
    <w:p w:rsidR="00C9334E" w:rsidRPr="00CF1F4A" w:rsidRDefault="00C9334E" w:rsidP="00C9334E">
      <w:pPr>
        <w:jc w:val="lowKashida"/>
        <w:rPr>
          <w:sz w:val="10"/>
          <w:szCs w:val="10"/>
        </w:rPr>
      </w:pPr>
    </w:p>
    <w:p w:rsidR="00C9334E" w:rsidRPr="00CF1F4A" w:rsidRDefault="00C9334E" w:rsidP="00C9334E">
      <w:pPr>
        <w:jc w:val="lowKashida"/>
      </w:pPr>
      <w:r w:rsidRPr="00CF1F4A">
        <w:t xml:space="preserve">This chapter mainly relies on data that have been extracted from the administrative records of public, international and regional organizations.  The most important of these sources were the United Nations Works and Relief Agency in the Near East (UNRWA), Central Bureau of Statistics and Natural Resources, and the Norwegian Institute for Applied Social Sciences (FAFO). Likewise, this chapter makes use of the data obtained through field surveys conducted on the Palestinian communities abroad in addition to estimates from the Palestinian Central Bureau of Statistics and assumptions applied in specific areas. </w:t>
      </w:r>
    </w:p>
    <w:p w:rsidR="00C9334E" w:rsidRPr="00CF1F4A" w:rsidRDefault="00C9334E" w:rsidP="00C9334E">
      <w:pPr>
        <w:jc w:val="both"/>
        <w:rPr>
          <w:b/>
          <w:bCs/>
        </w:rPr>
      </w:pPr>
    </w:p>
    <w:p w:rsidR="00C9334E" w:rsidRPr="00CF1F4A" w:rsidRDefault="00C9334E" w:rsidP="00C9334E">
      <w:pPr>
        <w:jc w:val="both"/>
        <w:rPr>
          <w:b/>
          <w:bCs/>
        </w:rPr>
      </w:pPr>
      <w:r w:rsidRPr="00CF1F4A">
        <w:rPr>
          <w:b/>
          <w:bCs/>
        </w:rPr>
        <w:t xml:space="preserve">Population: </w:t>
      </w:r>
    </w:p>
    <w:bookmarkEnd w:id="2"/>
    <w:p w:rsidR="00B53B3A" w:rsidRPr="00CF1F4A" w:rsidRDefault="00B53B3A" w:rsidP="008072F4">
      <w:pPr>
        <w:numPr>
          <w:ilvl w:val="0"/>
          <w:numId w:val="1"/>
        </w:numPr>
        <w:ind w:left="714" w:hanging="350"/>
        <w:jc w:val="both"/>
        <w:rPr>
          <w:noProof/>
        </w:rPr>
      </w:pPr>
      <w:r w:rsidRPr="00CF1F4A">
        <w:rPr>
          <w:noProof/>
        </w:rPr>
        <w:t>Palestinians in the world were estimated to be 12.</w:t>
      </w:r>
      <w:r w:rsidR="00266287" w:rsidRPr="00CF1F4A">
        <w:rPr>
          <w:noProof/>
        </w:rPr>
        <w:t>70</w:t>
      </w:r>
      <w:r w:rsidRPr="00CF1F4A">
        <w:rPr>
          <w:noProof/>
        </w:rPr>
        <w:t xml:space="preserve"> million at the end of 201</w:t>
      </w:r>
      <w:r w:rsidR="00266287" w:rsidRPr="00CF1F4A">
        <w:rPr>
          <w:noProof/>
        </w:rPr>
        <w:t>6</w:t>
      </w:r>
      <w:r w:rsidRPr="00CF1F4A">
        <w:rPr>
          <w:noProof/>
        </w:rPr>
        <w:t>, distributed by location as follows: 4.</w:t>
      </w:r>
      <w:r w:rsidR="00266287" w:rsidRPr="00CF1F4A">
        <w:rPr>
          <w:noProof/>
        </w:rPr>
        <w:t>88</w:t>
      </w:r>
      <w:r w:rsidRPr="00CF1F4A">
        <w:rPr>
          <w:noProof/>
        </w:rPr>
        <w:t xml:space="preserve"> million in Palestine, constituting 38.4% of the Palestinian world population; 1.</w:t>
      </w:r>
      <w:r w:rsidR="00266287" w:rsidRPr="00CF1F4A">
        <w:rPr>
          <w:noProof/>
        </w:rPr>
        <w:t>53</w:t>
      </w:r>
      <w:r w:rsidRPr="00CF1F4A">
        <w:rPr>
          <w:noProof/>
        </w:rPr>
        <w:t xml:space="preserve"> million in </w:t>
      </w:r>
      <w:r w:rsidR="001B4B14" w:rsidRPr="00CF1F4A">
        <w:rPr>
          <w:noProof/>
        </w:rPr>
        <w:t xml:space="preserve">the </w:t>
      </w:r>
      <w:r w:rsidR="008072F4" w:rsidRPr="00CF1F4A">
        <w:rPr>
          <w:noProof/>
        </w:rPr>
        <w:t xml:space="preserve">occupied </w:t>
      </w:r>
      <w:r w:rsidR="001B4B14" w:rsidRPr="00CF1F4A">
        <w:rPr>
          <w:noProof/>
        </w:rPr>
        <w:t xml:space="preserve">Palestinian </w:t>
      </w:r>
      <w:r w:rsidR="008072F4" w:rsidRPr="00CF1F4A">
        <w:rPr>
          <w:noProof/>
        </w:rPr>
        <w:t xml:space="preserve">territory </w:t>
      </w:r>
      <w:r w:rsidR="001B4B14" w:rsidRPr="00CF1F4A">
        <w:rPr>
          <w:noProof/>
        </w:rPr>
        <w:t>in 1948</w:t>
      </w:r>
      <w:r w:rsidRPr="00CF1F4A">
        <w:rPr>
          <w:noProof/>
        </w:rPr>
        <w:t xml:space="preserve"> (</w:t>
      </w:r>
      <w:r w:rsidR="001B4B14" w:rsidRPr="00CF1F4A">
        <w:rPr>
          <w:noProof/>
        </w:rPr>
        <w:t>12</w:t>
      </w:r>
      <w:r w:rsidRPr="00CF1F4A">
        <w:rPr>
          <w:noProof/>
        </w:rPr>
        <w:t>.</w:t>
      </w:r>
      <w:r w:rsidR="001B4B14" w:rsidRPr="00CF1F4A">
        <w:rPr>
          <w:noProof/>
        </w:rPr>
        <w:t>1</w:t>
      </w:r>
      <w:r w:rsidRPr="00CF1F4A">
        <w:rPr>
          <w:noProof/>
        </w:rPr>
        <w:t>%); 5.</w:t>
      </w:r>
      <w:r w:rsidR="001B4B14" w:rsidRPr="00CF1F4A">
        <w:rPr>
          <w:noProof/>
        </w:rPr>
        <w:t>59</w:t>
      </w:r>
      <w:r w:rsidRPr="00CF1F4A">
        <w:rPr>
          <w:noProof/>
        </w:rPr>
        <w:t xml:space="preserve"> million in Arab countries (44.</w:t>
      </w:r>
      <w:r w:rsidR="001B4B14" w:rsidRPr="00CF1F4A">
        <w:rPr>
          <w:noProof/>
        </w:rPr>
        <w:t>0</w:t>
      </w:r>
      <w:r w:rsidRPr="00CF1F4A">
        <w:rPr>
          <w:noProof/>
        </w:rPr>
        <w:t xml:space="preserve">%); and </w:t>
      </w:r>
      <w:r w:rsidR="001B4B14" w:rsidRPr="00CF1F4A">
        <w:rPr>
          <w:noProof/>
        </w:rPr>
        <w:t>696</w:t>
      </w:r>
      <w:r w:rsidRPr="00CF1F4A">
        <w:rPr>
          <w:noProof/>
        </w:rPr>
        <w:t xml:space="preserve"> thousand in foreign countries (5.5%).</w:t>
      </w:r>
    </w:p>
    <w:p w:rsidR="00BB6D0F" w:rsidRPr="00CF1F4A" w:rsidRDefault="00BB6D0F" w:rsidP="004E7170">
      <w:pPr>
        <w:jc w:val="lowKashida"/>
        <w:rPr>
          <w:sz w:val="10"/>
          <w:szCs w:val="10"/>
        </w:rPr>
      </w:pPr>
    </w:p>
    <w:p w:rsidR="00B53B3A" w:rsidRPr="00CF1F4A" w:rsidRDefault="00B53B3A" w:rsidP="008072F4">
      <w:pPr>
        <w:numPr>
          <w:ilvl w:val="0"/>
          <w:numId w:val="1"/>
        </w:numPr>
        <w:ind w:left="714" w:hanging="350"/>
        <w:jc w:val="both"/>
        <w:rPr>
          <w:noProof/>
        </w:rPr>
      </w:pPr>
      <w:r w:rsidRPr="00CF1F4A">
        <w:rPr>
          <w:noProof/>
        </w:rPr>
        <w:t>There were 5.</w:t>
      </w:r>
      <w:r w:rsidR="001B4B14" w:rsidRPr="00CF1F4A">
        <w:rPr>
          <w:noProof/>
        </w:rPr>
        <w:t>9</w:t>
      </w:r>
      <w:r w:rsidRPr="00CF1F4A">
        <w:rPr>
          <w:noProof/>
        </w:rPr>
        <w:t xml:space="preserve"> million Palestinian refugees registered in Jordan, Syria, Lebanon and Palestine </w:t>
      </w:r>
      <w:r w:rsidR="008072F4" w:rsidRPr="00CF1F4A">
        <w:t xml:space="preserve">in </w:t>
      </w:r>
      <w:r w:rsidRPr="00CF1F4A">
        <w:t xml:space="preserve">January </w:t>
      </w:r>
      <w:r w:rsidR="001B4B14" w:rsidRPr="00CF1F4A">
        <w:rPr>
          <w:rFonts w:hint="cs"/>
          <w:rtl/>
        </w:rPr>
        <w:t>2017</w:t>
      </w:r>
      <w:r w:rsidRPr="00CF1F4A">
        <w:rPr>
          <w:noProof/>
        </w:rPr>
        <w:t>.</w:t>
      </w:r>
    </w:p>
    <w:p w:rsidR="00C9334E" w:rsidRPr="00CF1F4A" w:rsidRDefault="00C9334E" w:rsidP="00C9334E">
      <w:pPr>
        <w:jc w:val="both"/>
        <w:rPr>
          <w:b/>
          <w:bCs/>
        </w:rPr>
      </w:pPr>
    </w:p>
    <w:p w:rsidR="00C9334E" w:rsidRPr="00CF1F4A" w:rsidRDefault="00C9334E" w:rsidP="00C9334E">
      <w:pPr>
        <w:jc w:val="both"/>
        <w:rPr>
          <w:b/>
          <w:bCs/>
        </w:rPr>
      </w:pPr>
      <w:r w:rsidRPr="00CF1F4A">
        <w:rPr>
          <w:b/>
          <w:bCs/>
        </w:rPr>
        <w:t>Health:</w:t>
      </w:r>
    </w:p>
    <w:p w:rsidR="00E26649" w:rsidRPr="00CF1F4A" w:rsidRDefault="00B5698C" w:rsidP="001B4B14">
      <w:pPr>
        <w:numPr>
          <w:ilvl w:val="0"/>
          <w:numId w:val="1"/>
        </w:numPr>
        <w:ind w:left="714" w:hanging="350"/>
        <w:jc w:val="both"/>
        <w:rPr>
          <w:noProof/>
        </w:rPr>
      </w:pPr>
      <w:r w:rsidRPr="00CF1F4A">
        <w:rPr>
          <w:noProof/>
        </w:rPr>
        <w:t>The</w:t>
      </w:r>
      <w:r w:rsidR="00FD62A0" w:rsidRPr="00CF1F4A">
        <w:rPr>
          <w:noProof/>
        </w:rPr>
        <w:t xml:space="preserve">re were </w:t>
      </w:r>
      <w:r w:rsidR="00C377A5" w:rsidRPr="00CF1F4A">
        <w:rPr>
          <w:noProof/>
        </w:rPr>
        <w:t>27</w:t>
      </w:r>
      <w:r w:rsidRPr="00CF1F4A">
        <w:rPr>
          <w:noProof/>
        </w:rPr>
        <w:t xml:space="preserve"> </w:t>
      </w:r>
      <w:r w:rsidR="00553F6F" w:rsidRPr="00CF1F4A">
        <w:rPr>
          <w:noProof/>
        </w:rPr>
        <w:t>p</w:t>
      </w:r>
      <w:r w:rsidRPr="00CF1F4A">
        <w:rPr>
          <w:noProof/>
        </w:rPr>
        <w:t xml:space="preserve">rimary </w:t>
      </w:r>
      <w:r w:rsidR="00553F6F" w:rsidRPr="00CF1F4A">
        <w:rPr>
          <w:noProof/>
        </w:rPr>
        <w:t>h</w:t>
      </w:r>
      <w:r w:rsidRPr="00CF1F4A">
        <w:rPr>
          <w:noProof/>
        </w:rPr>
        <w:t xml:space="preserve">ealth </w:t>
      </w:r>
      <w:r w:rsidR="00553F6F" w:rsidRPr="00CF1F4A">
        <w:rPr>
          <w:noProof/>
        </w:rPr>
        <w:t>c</w:t>
      </w:r>
      <w:r w:rsidRPr="00CF1F4A">
        <w:rPr>
          <w:noProof/>
        </w:rPr>
        <w:t xml:space="preserve">are </w:t>
      </w:r>
      <w:r w:rsidR="00553F6F" w:rsidRPr="00CF1F4A">
        <w:rPr>
          <w:noProof/>
        </w:rPr>
        <w:t xml:space="preserve">centers </w:t>
      </w:r>
      <w:r w:rsidRPr="00CF1F4A">
        <w:rPr>
          <w:noProof/>
        </w:rPr>
        <w:t>in</w:t>
      </w:r>
      <w:r w:rsidR="00C377A5" w:rsidRPr="00CF1F4A">
        <w:rPr>
          <w:noProof/>
        </w:rPr>
        <w:t xml:space="preserve"> Lebanon,</w:t>
      </w:r>
      <w:r w:rsidRPr="00CF1F4A">
        <w:rPr>
          <w:noProof/>
        </w:rPr>
        <w:t xml:space="preserve"> </w:t>
      </w:r>
      <w:r w:rsidR="00FD62A0" w:rsidRPr="00CF1F4A">
        <w:rPr>
          <w:noProof/>
        </w:rPr>
        <w:t>2</w:t>
      </w:r>
      <w:r w:rsidR="001B4B14" w:rsidRPr="00CF1F4A">
        <w:rPr>
          <w:noProof/>
        </w:rPr>
        <w:t>6</w:t>
      </w:r>
      <w:r w:rsidRPr="00CF1F4A">
        <w:rPr>
          <w:noProof/>
        </w:rPr>
        <w:t xml:space="preserve"> </w:t>
      </w:r>
      <w:r w:rsidR="00FD62A0" w:rsidRPr="00CF1F4A">
        <w:rPr>
          <w:noProof/>
        </w:rPr>
        <w:t xml:space="preserve">in </w:t>
      </w:r>
      <w:r w:rsidRPr="00CF1F4A">
        <w:rPr>
          <w:noProof/>
        </w:rPr>
        <w:t xml:space="preserve">Syria, </w:t>
      </w:r>
      <w:r w:rsidR="00553F6F" w:rsidRPr="00CF1F4A">
        <w:rPr>
          <w:noProof/>
        </w:rPr>
        <w:t>and</w:t>
      </w:r>
      <w:r w:rsidR="00FD62A0" w:rsidRPr="00CF1F4A">
        <w:rPr>
          <w:noProof/>
        </w:rPr>
        <w:t xml:space="preserve"> </w:t>
      </w:r>
      <w:r w:rsidR="00C377A5" w:rsidRPr="00CF1F4A">
        <w:rPr>
          <w:noProof/>
        </w:rPr>
        <w:t>2</w:t>
      </w:r>
      <w:r w:rsidR="001B4B14" w:rsidRPr="00CF1F4A">
        <w:rPr>
          <w:noProof/>
        </w:rPr>
        <w:t>5</w:t>
      </w:r>
      <w:r w:rsidR="00FD62A0" w:rsidRPr="00CF1F4A">
        <w:rPr>
          <w:noProof/>
        </w:rPr>
        <w:t xml:space="preserve"> in</w:t>
      </w:r>
      <w:r w:rsidR="00553F6F" w:rsidRPr="00CF1F4A">
        <w:rPr>
          <w:noProof/>
        </w:rPr>
        <w:t xml:space="preserve"> </w:t>
      </w:r>
      <w:r w:rsidR="00A54B80" w:rsidRPr="00CF1F4A">
        <w:rPr>
          <w:noProof/>
        </w:rPr>
        <w:t>Jordan</w:t>
      </w:r>
      <w:r w:rsidRPr="00CF1F4A">
        <w:rPr>
          <w:noProof/>
        </w:rPr>
        <w:t xml:space="preserve"> in </w:t>
      </w:r>
      <w:r w:rsidR="00583D7A" w:rsidRPr="00CF1F4A">
        <w:rPr>
          <w:noProof/>
        </w:rPr>
        <w:t>201</w:t>
      </w:r>
      <w:r w:rsidR="001B4B14" w:rsidRPr="00CF1F4A">
        <w:rPr>
          <w:noProof/>
        </w:rPr>
        <w:t>7</w:t>
      </w:r>
      <w:r w:rsidRPr="00CF1F4A">
        <w:rPr>
          <w:noProof/>
        </w:rPr>
        <w:t>.</w:t>
      </w:r>
    </w:p>
    <w:p w:rsidR="00C9334E" w:rsidRPr="00CF1F4A" w:rsidRDefault="00C9334E" w:rsidP="00C9334E">
      <w:pPr>
        <w:jc w:val="both"/>
        <w:rPr>
          <w:b/>
          <w:bCs/>
        </w:rPr>
      </w:pPr>
    </w:p>
    <w:p w:rsidR="00B5698C" w:rsidRPr="00CF1F4A" w:rsidRDefault="00C9334E" w:rsidP="00C9334E">
      <w:pPr>
        <w:jc w:val="both"/>
        <w:rPr>
          <w:b/>
          <w:bCs/>
        </w:rPr>
      </w:pPr>
      <w:r w:rsidRPr="00CF1F4A">
        <w:rPr>
          <w:b/>
          <w:bCs/>
        </w:rPr>
        <w:t>Education:</w:t>
      </w:r>
      <w:r w:rsidR="00B5698C" w:rsidRPr="00CF1F4A">
        <w:rPr>
          <w:b/>
          <w:bCs/>
        </w:rPr>
        <w:t xml:space="preserve"> </w:t>
      </w:r>
    </w:p>
    <w:p w:rsidR="00E26649" w:rsidRPr="00CF1F4A" w:rsidRDefault="00E26649" w:rsidP="008072F4">
      <w:pPr>
        <w:numPr>
          <w:ilvl w:val="0"/>
          <w:numId w:val="1"/>
        </w:numPr>
        <w:ind w:left="714" w:hanging="350"/>
        <w:jc w:val="both"/>
        <w:rPr>
          <w:noProof/>
        </w:rPr>
      </w:pPr>
      <w:r w:rsidRPr="00CF1F4A">
        <w:rPr>
          <w:noProof/>
        </w:rPr>
        <w:t xml:space="preserve">The total number of UNRWA schools was </w:t>
      </w:r>
      <w:r w:rsidR="00E22B42" w:rsidRPr="00CF1F4A">
        <w:rPr>
          <w:noProof/>
        </w:rPr>
        <w:t>171</w:t>
      </w:r>
      <w:r w:rsidRPr="00CF1F4A">
        <w:rPr>
          <w:noProof/>
        </w:rPr>
        <w:t xml:space="preserve"> schools in Jordan, </w:t>
      </w:r>
      <w:r w:rsidR="00E22B42" w:rsidRPr="00CF1F4A">
        <w:rPr>
          <w:noProof/>
        </w:rPr>
        <w:t>101</w:t>
      </w:r>
      <w:r w:rsidRPr="00CF1F4A">
        <w:rPr>
          <w:noProof/>
        </w:rPr>
        <w:t xml:space="preserve"> schools in Syria and </w:t>
      </w:r>
      <w:r w:rsidR="000B6F29" w:rsidRPr="00CF1F4A">
        <w:rPr>
          <w:noProof/>
        </w:rPr>
        <w:t>6</w:t>
      </w:r>
      <w:r w:rsidR="00E22B42" w:rsidRPr="00CF1F4A">
        <w:rPr>
          <w:noProof/>
        </w:rPr>
        <w:t>7</w:t>
      </w:r>
      <w:r w:rsidRPr="00CF1F4A">
        <w:rPr>
          <w:noProof/>
        </w:rPr>
        <w:t xml:space="preserve"> schools in Lebanon in </w:t>
      </w:r>
      <w:r w:rsidR="000B6F29" w:rsidRPr="00CF1F4A">
        <w:rPr>
          <w:noProof/>
        </w:rPr>
        <w:t>201</w:t>
      </w:r>
      <w:r w:rsidR="001B4B14" w:rsidRPr="00CF1F4A">
        <w:rPr>
          <w:noProof/>
        </w:rPr>
        <w:t>6</w:t>
      </w:r>
      <w:r w:rsidRPr="00CF1F4A">
        <w:rPr>
          <w:noProof/>
        </w:rPr>
        <w:t>/</w:t>
      </w:r>
      <w:r w:rsidR="000B6F29" w:rsidRPr="00CF1F4A">
        <w:rPr>
          <w:noProof/>
        </w:rPr>
        <w:t>201</w:t>
      </w:r>
      <w:r w:rsidR="001B4B14" w:rsidRPr="00CF1F4A">
        <w:rPr>
          <w:noProof/>
        </w:rPr>
        <w:t>7</w:t>
      </w:r>
      <w:r w:rsidRPr="00CF1F4A">
        <w:rPr>
          <w:noProof/>
        </w:rPr>
        <w:t>.</w:t>
      </w:r>
    </w:p>
    <w:p w:rsidR="00BB6D0F" w:rsidRPr="00CF1F4A" w:rsidRDefault="00BB6D0F" w:rsidP="004E7170">
      <w:pPr>
        <w:jc w:val="lowKashida"/>
        <w:rPr>
          <w:sz w:val="10"/>
          <w:szCs w:val="10"/>
        </w:rPr>
      </w:pPr>
    </w:p>
    <w:p w:rsidR="00B5698C" w:rsidRPr="00CF1F4A" w:rsidRDefault="00B5698C" w:rsidP="008072F4">
      <w:pPr>
        <w:numPr>
          <w:ilvl w:val="0"/>
          <w:numId w:val="1"/>
        </w:numPr>
        <w:ind w:left="714" w:hanging="350"/>
        <w:jc w:val="both"/>
        <w:rPr>
          <w:noProof/>
        </w:rPr>
      </w:pPr>
      <w:r w:rsidRPr="00CF1F4A">
        <w:rPr>
          <w:noProof/>
        </w:rPr>
        <w:t xml:space="preserve">The total number of refugee students in UNRWA </w:t>
      </w:r>
      <w:r w:rsidR="00553F6F" w:rsidRPr="00CF1F4A">
        <w:rPr>
          <w:noProof/>
        </w:rPr>
        <w:t>s</w:t>
      </w:r>
      <w:r w:rsidRPr="00CF1F4A">
        <w:rPr>
          <w:noProof/>
        </w:rPr>
        <w:t xml:space="preserve">chools was </w:t>
      </w:r>
      <w:r w:rsidR="001B4B14" w:rsidRPr="00CF1F4A">
        <w:rPr>
          <w:noProof/>
        </w:rPr>
        <w:t>121</w:t>
      </w:r>
      <w:r w:rsidR="00B21F3A" w:rsidRPr="00CF1F4A">
        <w:rPr>
          <w:noProof/>
        </w:rPr>
        <w:t>,</w:t>
      </w:r>
      <w:r w:rsidR="001B4B14" w:rsidRPr="00CF1F4A">
        <w:rPr>
          <w:noProof/>
        </w:rPr>
        <w:t>368</w:t>
      </w:r>
      <w:r w:rsidRPr="00CF1F4A">
        <w:rPr>
          <w:noProof/>
        </w:rPr>
        <w:t xml:space="preserve"> in Jordan, </w:t>
      </w:r>
      <w:r w:rsidR="001B4B14" w:rsidRPr="00CF1F4A">
        <w:rPr>
          <w:noProof/>
        </w:rPr>
        <w:t>36</w:t>
      </w:r>
      <w:r w:rsidR="00B21F3A" w:rsidRPr="00CF1F4A">
        <w:rPr>
          <w:noProof/>
        </w:rPr>
        <w:t>,</w:t>
      </w:r>
      <w:r w:rsidR="001B4B14" w:rsidRPr="00CF1F4A">
        <w:rPr>
          <w:noProof/>
        </w:rPr>
        <w:t>088</w:t>
      </w:r>
      <w:r w:rsidRPr="00CF1F4A">
        <w:rPr>
          <w:noProof/>
        </w:rPr>
        <w:t xml:space="preserve"> in Lebanon and </w:t>
      </w:r>
      <w:r w:rsidR="001B4B14" w:rsidRPr="00CF1F4A">
        <w:rPr>
          <w:noProof/>
        </w:rPr>
        <w:t>46</w:t>
      </w:r>
      <w:r w:rsidR="00B21F3A" w:rsidRPr="00CF1F4A">
        <w:rPr>
          <w:noProof/>
        </w:rPr>
        <w:t>,</w:t>
      </w:r>
      <w:r w:rsidR="001B4B14" w:rsidRPr="00CF1F4A">
        <w:rPr>
          <w:noProof/>
        </w:rPr>
        <w:t>733</w:t>
      </w:r>
      <w:r w:rsidRPr="00CF1F4A">
        <w:rPr>
          <w:noProof/>
        </w:rPr>
        <w:t xml:space="preserve"> in Syria in </w:t>
      </w:r>
      <w:r w:rsidR="00B21F3A" w:rsidRPr="00CF1F4A">
        <w:rPr>
          <w:noProof/>
        </w:rPr>
        <w:t>201</w:t>
      </w:r>
      <w:r w:rsidR="001B4B14" w:rsidRPr="00CF1F4A">
        <w:rPr>
          <w:noProof/>
        </w:rPr>
        <w:t>6</w:t>
      </w:r>
      <w:r w:rsidR="007C3781" w:rsidRPr="00CF1F4A">
        <w:rPr>
          <w:noProof/>
        </w:rPr>
        <w:t>/</w:t>
      </w:r>
      <w:r w:rsidR="00B21F3A" w:rsidRPr="00CF1F4A">
        <w:rPr>
          <w:noProof/>
        </w:rPr>
        <w:t>201</w:t>
      </w:r>
      <w:r w:rsidR="001B4B14" w:rsidRPr="00CF1F4A">
        <w:rPr>
          <w:noProof/>
        </w:rPr>
        <w:t>7</w:t>
      </w:r>
      <w:r w:rsidRPr="00CF1F4A">
        <w:rPr>
          <w:noProof/>
        </w:rPr>
        <w:t xml:space="preserve">. </w:t>
      </w:r>
    </w:p>
    <w:p w:rsidR="00BB6D0F" w:rsidRPr="00CF1F4A" w:rsidRDefault="00BB6D0F" w:rsidP="004E7170">
      <w:pPr>
        <w:jc w:val="lowKashida"/>
        <w:rPr>
          <w:sz w:val="10"/>
          <w:szCs w:val="10"/>
        </w:rPr>
      </w:pPr>
    </w:p>
    <w:p w:rsidR="00B5698C" w:rsidRPr="00CF1F4A" w:rsidRDefault="00B5698C" w:rsidP="008072F4">
      <w:pPr>
        <w:numPr>
          <w:ilvl w:val="0"/>
          <w:numId w:val="1"/>
        </w:numPr>
        <w:ind w:left="714" w:hanging="350"/>
        <w:jc w:val="both"/>
        <w:rPr>
          <w:noProof/>
        </w:rPr>
      </w:pPr>
      <w:r w:rsidRPr="00CF1F4A">
        <w:rPr>
          <w:noProof/>
        </w:rPr>
        <w:t xml:space="preserve">The total number of teaching </w:t>
      </w:r>
      <w:r w:rsidR="00F07E78" w:rsidRPr="00CF1F4A">
        <w:rPr>
          <w:noProof/>
        </w:rPr>
        <w:t>s</w:t>
      </w:r>
      <w:r w:rsidRPr="00CF1F4A">
        <w:rPr>
          <w:noProof/>
        </w:rPr>
        <w:t xml:space="preserve">taff in UNRWA schools was </w:t>
      </w:r>
      <w:r w:rsidR="00F00428" w:rsidRPr="00CF1F4A">
        <w:rPr>
          <w:noProof/>
        </w:rPr>
        <w:t>5,</w:t>
      </w:r>
      <w:r w:rsidR="001B4B14" w:rsidRPr="00CF1F4A">
        <w:rPr>
          <w:noProof/>
        </w:rPr>
        <w:t>090</w:t>
      </w:r>
      <w:r w:rsidRPr="00CF1F4A">
        <w:rPr>
          <w:noProof/>
        </w:rPr>
        <w:t xml:space="preserve"> in Jordan, </w:t>
      </w:r>
      <w:r w:rsidR="00F00428" w:rsidRPr="00CF1F4A">
        <w:rPr>
          <w:noProof/>
        </w:rPr>
        <w:t>2,</w:t>
      </w:r>
      <w:r w:rsidR="001B4B14" w:rsidRPr="00CF1F4A">
        <w:rPr>
          <w:noProof/>
        </w:rPr>
        <w:t>193</w:t>
      </w:r>
      <w:r w:rsidR="008072A6" w:rsidRPr="00CF1F4A">
        <w:rPr>
          <w:noProof/>
        </w:rPr>
        <w:t xml:space="preserve"> </w:t>
      </w:r>
      <w:r w:rsidRPr="00CF1F4A">
        <w:rPr>
          <w:noProof/>
        </w:rPr>
        <w:t xml:space="preserve">in Syria and </w:t>
      </w:r>
      <w:r w:rsidR="001B4B14" w:rsidRPr="00CF1F4A">
        <w:rPr>
          <w:noProof/>
        </w:rPr>
        <w:t>2</w:t>
      </w:r>
      <w:r w:rsidR="00F00428" w:rsidRPr="00CF1F4A">
        <w:rPr>
          <w:noProof/>
        </w:rPr>
        <w:t>,</w:t>
      </w:r>
      <w:r w:rsidR="001B4B14" w:rsidRPr="00CF1F4A">
        <w:rPr>
          <w:noProof/>
        </w:rPr>
        <w:t>082</w:t>
      </w:r>
      <w:r w:rsidRPr="00CF1F4A">
        <w:rPr>
          <w:noProof/>
        </w:rPr>
        <w:t xml:space="preserve"> in Lebanon in </w:t>
      </w:r>
      <w:r w:rsidR="00F00428" w:rsidRPr="00CF1F4A">
        <w:rPr>
          <w:noProof/>
        </w:rPr>
        <w:t>201</w:t>
      </w:r>
      <w:r w:rsidR="001B4B14" w:rsidRPr="00CF1F4A">
        <w:rPr>
          <w:noProof/>
        </w:rPr>
        <w:t>6</w:t>
      </w:r>
      <w:r w:rsidR="00507D5D" w:rsidRPr="00CF1F4A">
        <w:rPr>
          <w:noProof/>
        </w:rPr>
        <w:t>/</w:t>
      </w:r>
      <w:r w:rsidR="00F00428" w:rsidRPr="00CF1F4A">
        <w:rPr>
          <w:noProof/>
        </w:rPr>
        <w:t>201</w:t>
      </w:r>
      <w:r w:rsidR="001B4B14" w:rsidRPr="00CF1F4A">
        <w:rPr>
          <w:noProof/>
        </w:rPr>
        <w:t>7</w:t>
      </w:r>
      <w:r w:rsidRPr="00CF1F4A">
        <w:rPr>
          <w:noProof/>
        </w:rPr>
        <w:t xml:space="preserve">. </w:t>
      </w:r>
    </w:p>
    <w:p w:rsidR="004D74D5" w:rsidRPr="00CF1F4A" w:rsidRDefault="004D74D5" w:rsidP="00B5698C">
      <w:pPr>
        <w:jc w:val="lowKashida"/>
        <w:rPr>
          <w:sz w:val="10"/>
          <w:szCs w:val="10"/>
        </w:rPr>
      </w:pPr>
    </w:p>
    <w:p w:rsidR="005910AE" w:rsidRPr="0001217D" w:rsidRDefault="005910AE" w:rsidP="0001217D">
      <w:pPr>
        <w:pStyle w:val="ListParagraph"/>
        <w:bidi w:val="0"/>
        <w:ind w:left="0"/>
        <w:jc w:val="lowKashida"/>
        <w:rPr>
          <w:rFonts w:cs="Times New Roman"/>
          <w:i/>
          <w:iCs/>
          <w:color w:val="000000" w:themeColor="text1"/>
          <w:sz w:val="20"/>
          <w:u w:val="single"/>
        </w:rPr>
      </w:pPr>
      <w:r w:rsidRPr="0001217D">
        <w:rPr>
          <w:rFonts w:cs="Times New Roman"/>
          <w:i/>
          <w:iCs/>
          <w:color w:val="000000" w:themeColor="text1"/>
          <w:sz w:val="20"/>
          <w:u w:val="single"/>
        </w:rPr>
        <w:t>For more detail</w:t>
      </w:r>
      <w:r w:rsidR="00F07E78" w:rsidRPr="0001217D">
        <w:rPr>
          <w:rFonts w:cs="Times New Roman"/>
          <w:i/>
          <w:iCs/>
          <w:color w:val="000000" w:themeColor="text1"/>
          <w:sz w:val="20"/>
          <w:u w:val="single"/>
        </w:rPr>
        <w:t xml:space="preserve">s on </w:t>
      </w:r>
      <w:r w:rsidRPr="0001217D">
        <w:rPr>
          <w:rFonts w:cs="Times New Roman"/>
          <w:i/>
          <w:iCs/>
          <w:color w:val="000000" w:themeColor="text1"/>
          <w:sz w:val="20"/>
          <w:u w:val="single"/>
        </w:rPr>
        <w:t>Palestinians in the Diaspora</w:t>
      </w:r>
      <w:r w:rsidR="00F07E78" w:rsidRPr="0001217D">
        <w:rPr>
          <w:rFonts w:cs="Times New Roman"/>
          <w:i/>
          <w:iCs/>
          <w:color w:val="000000" w:themeColor="text1"/>
          <w:sz w:val="20"/>
          <w:u w:val="single"/>
        </w:rPr>
        <w:t>,</w:t>
      </w:r>
      <w:r w:rsidRPr="0001217D">
        <w:rPr>
          <w:rFonts w:cs="Times New Roman"/>
          <w:i/>
          <w:iCs/>
          <w:color w:val="000000" w:themeColor="text1"/>
          <w:sz w:val="20"/>
          <w:u w:val="single"/>
        </w:rPr>
        <w:t xml:space="preserve"> </w:t>
      </w:r>
      <w:r w:rsidR="0037009A" w:rsidRPr="0001217D">
        <w:rPr>
          <w:rFonts w:cs="Times New Roman"/>
          <w:i/>
          <w:iCs/>
          <w:color w:val="000000" w:themeColor="text1"/>
          <w:sz w:val="20"/>
          <w:u w:val="single"/>
        </w:rPr>
        <w:t xml:space="preserve">see </w:t>
      </w:r>
      <w:r w:rsidR="00F07E78" w:rsidRPr="0001217D">
        <w:rPr>
          <w:rFonts w:cs="Times New Roman"/>
          <w:i/>
          <w:iCs/>
          <w:color w:val="000000" w:themeColor="text1"/>
          <w:sz w:val="20"/>
          <w:u w:val="single"/>
        </w:rPr>
        <w:t xml:space="preserve">the </w:t>
      </w:r>
      <w:r w:rsidR="0037009A" w:rsidRPr="0001217D">
        <w:rPr>
          <w:rFonts w:cs="Times New Roman"/>
          <w:i/>
          <w:iCs/>
          <w:color w:val="000000" w:themeColor="text1"/>
          <w:sz w:val="20"/>
          <w:u w:val="single"/>
        </w:rPr>
        <w:t xml:space="preserve">tables </w:t>
      </w:r>
      <w:r w:rsidRPr="0001217D">
        <w:rPr>
          <w:rFonts w:cs="Times New Roman"/>
          <w:i/>
          <w:iCs/>
          <w:color w:val="000000" w:themeColor="text1"/>
          <w:sz w:val="20"/>
          <w:u w:val="single"/>
        </w:rPr>
        <w:t xml:space="preserve">in chapter 3 </w:t>
      </w:r>
      <w:r w:rsidR="00F07E78" w:rsidRPr="0001217D">
        <w:rPr>
          <w:rFonts w:cs="Times New Roman"/>
          <w:i/>
          <w:iCs/>
          <w:color w:val="000000" w:themeColor="text1"/>
          <w:sz w:val="20"/>
          <w:u w:val="single"/>
        </w:rPr>
        <w:t>of the</w:t>
      </w:r>
      <w:r w:rsidRPr="0001217D">
        <w:rPr>
          <w:rFonts w:cs="Times New Roman"/>
          <w:i/>
          <w:iCs/>
          <w:color w:val="000000" w:themeColor="text1"/>
          <w:sz w:val="20"/>
          <w:u w:val="single"/>
        </w:rPr>
        <w:t xml:space="preserve"> </w:t>
      </w:r>
      <w:r w:rsidR="00654A09" w:rsidRPr="0001217D">
        <w:rPr>
          <w:rFonts w:cs="Times New Roman"/>
          <w:i/>
          <w:iCs/>
          <w:color w:val="000000" w:themeColor="text1"/>
          <w:sz w:val="20"/>
          <w:u w:val="single"/>
        </w:rPr>
        <w:t>Arabic</w:t>
      </w:r>
      <w:r w:rsidRPr="0001217D">
        <w:rPr>
          <w:rFonts w:cs="Times New Roman"/>
          <w:i/>
          <w:iCs/>
          <w:color w:val="000000" w:themeColor="text1"/>
          <w:sz w:val="20"/>
          <w:u w:val="single"/>
        </w:rPr>
        <w:t xml:space="preserve"> </w:t>
      </w:r>
      <w:r w:rsidR="00F07E78" w:rsidRPr="0001217D">
        <w:rPr>
          <w:rFonts w:cs="Times New Roman"/>
          <w:i/>
          <w:iCs/>
          <w:color w:val="000000" w:themeColor="text1"/>
          <w:sz w:val="20"/>
          <w:u w:val="single"/>
        </w:rPr>
        <w:t xml:space="preserve">section, </w:t>
      </w:r>
      <w:r w:rsidRPr="0001217D">
        <w:rPr>
          <w:rFonts w:cs="Times New Roman"/>
          <w:i/>
          <w:iCs/>
          <w:color w:val="000000" w:themeColor="text1"/>
          <w:sz w:val="20"/>
          <w:u w:val="single"/>
        </w:rPr>
        <w:t>page</w:t>
      </w:r>
      <w:r w:rsidR="00F07E78" w:rsidRPr="0001217D">
        <w:rPr>
          <w:rFonts w:cs="Times New Roman"/>
          <w:i/>
          <w:iCs/>
          <w:color w:val="000000" w:themeColor="text1"/>
          <w:sz w:val="20"/>
          <w:u w:val="single"/>
        </w:rPr>
        <w:t>s</w:t>
      </w:r>
      <w:r w:rsidRPr="0001217D">
        <w:rPr>
          <w:rFonts w:cs="Times New Roman"/>
          <w:i/>
          <w:iCs/>
          <w:noProof w:val="0"/>
          <w:color w:val="000000" w:themeColor="text1"/>
          <w:sz w:val="20"/>
          <w:u w:val="single"/>
          <w:rtl/>
        </w:rPr>
        <w:t xml:space="preserve"> </w:t>
      </w:r>
      <w:r w:rsidR="0001217D">
        <w:rPr>
          <w:rFonts w:cs="Times New Roman"/>
          <w:i/>
          <w:iCs/>
          <w:color w:val="000000" w:themeColor="text1"/>
          <w:sz w:val="20"/>
          <w:u w:val="single"/>
        </w:rPr>
        <w:t>295</w:t>
      </w:r>
      <w:r w:rsidRPr="0001217D">
        <w:rPr>
          <w:rFonts w:cs="Times New Roman"/>
          <w:i/>
          <w:iCs/>
          <w:color w:val="000000" w:themeColor="text1"/>
          <w:sz w:val="20"/>
          <w:u w:val="single"/>
        </w:rPr>
        <w:t>-</w:t>
      </w:r>
      <w:r w:rsidR="0001217D">
        <w:rPr>
          <w:rFonts w:cs="Times New Roman"/>
          <w:i/>
          <w:iCs/>
          <w:color w:val="000000" w:themeColor="text1"/>
          <w:sz w:val="20"/>
          <w:u w:val="single"/>
        </w:rPr>
        <w:t>304</w:t>
      </w:r>
      <w:r w:rsidR="00F07E78" w:rsidRPr="0001217D">
        <w:rPr>
          <w:rFonts w:cs="Times New Roman"/>
          <w:i/>
          <w:iCs/>
          <w:color w:val="000000" w:themeColor="text1"/>
          <w:sz w:val="20"/>
          <w:u w:val="single"/>
        </w:rPr>
        <w:t>.</w:t>
      </w:r>
    </w:p>
    <w:p w:rsidR="002173CB" w:rsidRPr="0001217D" w:rsidRDefault="002173CB" w:rsidP="002173CB">
      <w:pPr>
        <w:pStyle w:val="ListParagraph"/>
        <w:bidi w:val="0"/>
        <w:ind w:left="0"/>
        <w:jc w:val="lowKashida"/>
        <w:rPr>
          <w:rFonts w:cs="Times New Roman"/>
          <w:i/>
          <w:iCs/>
          <w:color w:val="000000" w:themeColor="text1"/>
          <w:sz w:val="20"/>
          <w:u w:val="single"/>
        </w:rPr>
      </w:pPr>
    </w:p>
    <w:sectPr w:rsidR="002173CB" w:rsidRPr="0001217D" w:rsidSect="00815D5D">
      <w:headerReference w:type="default" r:id="rId27"/>
      <w:footerReference w:type="even" r:id="rId28"/>
      <w:footerReference w:type="default" r:id="rId29"/>
      <w:endnotePr>
        <w:numFmt w:val="lowerLetter"/>
      </w:endnotePr>
      <w:pgSz w:w="9639" w:h="13608" w:code="9"/>
      <w:pgMar w:top="1134" w:right="1134" w:bottom="1134" w:left="1134" w:header="680" w:footer="680" w:gutter="0"/>
      <w:pgNumType w:start="15"/>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6F22" w:rsidRDefault="00136F22">
      <w:r>
        <w:separator/>
      </w:r>
    </w:p>
  </w:endnote>
  <w:endnote w:type="continuationSeparator" w:id="0">
    <w:p w:rsidR="00136F22" w:rsidRDefault="00136F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6F22" w:rsidRDefault="00360305">
    <w:pPr>
      <w:pStyle w:val="Footer"/>
      <w:framePr w:wrap="around" w:vAnchor="text" w:hAnchor="margin" w:xAlign="center" w:y="1"/>
      <w:rPr>
        <w:rStyle w:val="PageNumber"/>
      </w:rPr>
    </w:pPr>
    <w:r>
      <w:rPr>
        <w:rStyle w:val="PageNumber"/>
      </w:rPr>
      <w:fldChar w:fldCharType="begin"/>
    </w:r>
    <w:r w:rsidR="00136F22">
      <w:rPr>
        <w:rStyle w:val="PageNumber"/>
      </w:rPr>
      <w:instrText xml:space="preserve">PAGE  </w:instrText>
    </w:r>
    <w:r>
      <w:rPr>
        <w:rStyle w:val="PageNumber"/>
      </w:rPr>
      <w:fldChar w:fldCharType="end"/>
    </w:r>
  </w:p>
  <w:p w:rsidR="00136F22" w:rsidRDefault="00136F2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6F22" w:rsidRDefault="00136F22">
    <w:pPr>
      <w:pStyle w:val="Footer"/>
      <w:framePr w:w="522" w:wrap="around" w:vAnchor="text" w:hAnchor="margin" w:xAlign="center" w:y="12"/>
      <w:rPr>
        <w:rStyle w:val="PageNumber"/>
      </w:rPr>
    </w:pPr>
    <w:r>
      <w:rPr>
        <w:rStyle w:val="PageNumber"/>
      </w:rPr>
      <w:t>[</w:t>
    </w:r>
    <w:r w:rsidR="00360305">
      <w:rPr>
        <w:rStyle w:val="PageNumber"/>
        <w:rFonts w:ascii="Arial" w:hAnsi="Arial" w:cs="Arial"/>
        <w:sz w:val="18"/>
        <w:szCs w:val="18"/>
      </w:rPr>
      <w:fldChar w:fldCharType="begin"/>
    </w:r>
    <w:r>
      <w:rPr>
        <w:rStyle w:val="PageNumber"/>
        <w:rFonts w:ascii="Arial" w:hAnsi="Arial" w:cs="Arial"/>
        <w:sz w:val="18"/>
        <w:szCs w:val="18"/>
      </w:rPr>
      <w:instrText xml:space="preserve">PAGE  </w:instrText>
    </w:r>
    <w:r w:rsidR="00360305">
      <w:rPr>
        <w:rStyle w:val="PageNumber"/>
        <w:rFonts w:ascii="Arial" w:hAnsi="Arial" w:cs="Arial"/>
        <w:sz w:val="18"/>
        <w:szCs w:val="18"/>
      </w:rPr>
      <w:fldChar w:fldCharType="separate"/>
    </w:r>
    <w:r w:rsidR="00C871F9">
      <w:rPr>
        <w:rStyle w:val="PageNumber"/>
        <w:rFonts w:ascii="Arial" w:hAnsi="Arial" w:cs="Arial"/>
        <w:noProof/>
        <w:sz w:val="18"/>
        <w:szCs w:val="18"/>
      </w:rPr>
      <w:t>38</w:t>
    </w:r>
    <w:r w:rsidR="00360305">
      <w:rPr>
        <w:rStyle w:val="PageNumber"/>
        <w:rFonts w:ascii="Arial" w:hAnsi="Arial" w:cs="Arial"/>
        <w:sz w:val="18"/>
        <w:szCs w:val="18"/>
      </w:rPr>
      <w:fldChar w:fldCharType="end"/>
    </w:r>
    <w:r>
      <w:rPr>
        <w:rStyle w:val="PageNumber"/>
      </w:rPr>
      <w:t>]</w:t>
    </w:r>
  </w:p>
  <w:p w:rsidR="00136F22" w:rsidRDefault="00136F2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6F22" w:rsidRDefault="00136F22">
      <w:r>
        <w:separator/>
      </w:r>
    </w:p>
  </w:footnote>
  <w:footnote w:type="continuationSeparator" w:id="0">
    <w:p w:rsidR="00136F22" w:rsidRDefault="00136F2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6F22" w:rsidRPr="00940590" w:rsidRDefault="00136F22" w:rsidP="00266287">
    <w:pPr>
      <w:pStyle w:val="Footer"/>
      <w:rPr>
        <w:sz w:val="16"/>
        <w:szCs w:val="16"/>
      </w:rPr>
    </w:pPr>
    <w:r>
      <w:rPr>
        <w:sz w:val="16"/>
      </w:rPr>
      <w:t>PCBS: Statistical Yearbook of  Palestine 2017</w:t>
    </w:r>
    <w:r>
      <w:rPr>
        <w:sz w:val="16"/>
        <w:szCs w:val="16"/>
      </w:rPr>
      <w:t xml:space="preserve">                                                                           Summary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A2CD0"/>
    <w:multiLevelType w:val="hybridMultilevel"/>
    <w:tmpl w:val="C12436A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1">
    <w:nsid w:val="02150D35"/>
    <w:multiLevelType w:val="hybridMultilevel"/>
    <w:tmpl w:val="D7A8C99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2">
    <w:nsid w:val="139A27E5"/>
    <w:multiLevelType w:val="hybridMultilevel"/>
    <w:tmpl w:val="79FAD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E932F90"/>
    <w:multiLevelType w:val="hybridMultilevel"/>
    <w:tmpl w:val="BF161F64"/>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1FE4277F"/>
    <w:multiLevelType w:val="hybridMultilevel"/>
    <w:tmpl w:val="CF765A1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
    <w:nsid w:val="25C118CB"/>
    <w:multiLevelType w:val="hybridMultilevel"/>
    <w:tmpl w:val="27BCA5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31CD45AD"/>
    <w:multiLevelType w:val="hybridMultilevel"/>
    <w:tmpl w:val="6AE43A28"/>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7">
    <w:nsid w:val="3D4B1CDF"/>
    <w:multiLevelType w:val="hybridMultilevel"/>
    <w:tmpl w:val="47DAC31C"/>
    <w:lvl w:ilvl="0" w:tplc="04010001">
      <w:start w:val="1"/>
      <w:numFmt w:val="bullet"/>
      <w:lvlText w:val=""/>
      <w:lvlJc w:val="left"/>
      <w:pPr>
        <w:tabs>
          <w:tab w:val="num" w:pos="360"/>
        </w:tabs>
        <w:ind w:left="360"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8">
    <w:nsid w:val="41EB225C"/>
    <w:multiLevelType w:val="hybridMultilevel"/>
    <w:tmpl w:val="D3AAD7F8"/>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9">
    <w:nsid w:val="4CC84C72"/>
    <w:multiLevelType w:val="hybridMultilevel"/>
    <w:tmpl w:val="F200ACF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0">
    <w:nsid w:val="56F00F86"/>
    <w:multiLevelType w:val="hybridMultilevel"/>
    <w:tmpl w:val="85C8BE56"/>
    <w:lvl w:ilvl="0" w:tplc="0401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872" w:hanging="360"/>
      </w:pPr>
      <w:rPr>
        <w:rFonts w:cs="Times New Roman"/>
      </w:rPr>
    </w:lvl>
    <w:lvl w:ilvl="2" w:tplc="0409001B" w:tentative="1">
      <w:start w:val="1"/>
      <w:numFmt w:val="lowerRoman"/>
      <w:lvlText w:val="%3."/>
      <w:lvlJc w:val="right"/>
      <w:pPr>
        <w:ind w:left="1592" w:hanging="180"/>
      </w:pPr>
      <w:rPr>
        <w:rFonts w:cs="Times New Roman"/>
      </w:rPr>
    </w:lvl>
    <w:lvl w:ilvl="3" w:tplc="0409000F" w:tentative="1">
      <w:start w:val="1"/>
      <w:numFmt w:val="decimal"/>
      <w:lvlText w:val="%4."/>
      <w:lvlJc w:val="left"/>
      <w:pPr>
        <w:ind w:left="2312" w:hanging="360"/>
      </w:pPr>
      <w:rPr>
        <w:rFonts w:cs="Times New Roman"/>
      </w:rPr>
    </w:lvl>
    <w:lvl w:ilvl="4" w:tplc="04090019" w:tentative="1">
      <w:start w:val="1"/>
      <w:numFmt w:val="lowerLetter"/>
      <w:lvlText w:val="%5."/>
      <w:lvlJc w:val="left"/>
      <w:pPr>
        <w:ind w:left="3032" w:hanging="360"/>
      </w:pPr>
      <w:rPr>
        <w:rFonts w:cs="Times New Roman"/>
      </w:rPr>
    </w:lvl>
    <w:lvl w:ilvl="5" w:tplc="0409001B" w:tentative="1">
      <w:start w:val="1"/>
      <w:numFmt w:val="lowerRoman"/>
      <w:lvlText w:val="%6."/>
      <w:lvlJc w:val="right"/>
      <w:pPr>
        <w:ind w:left="3752" w:hanging="180"/>
      </w:pPr>
      <w:rPr>
        <w:rFonts w:cs="Times New Roman"/>
      </w:rPr>
    </w:lvl>
    <w:lvl w:ilvl="6" w:tplc="0409000F" w:tentative="1">
      <w:start w:val="1"/>
      <w:numFmt w:val="decimal"/>
      <w:lvlText w:val="%7."/>
      <w:lvlJc w:val="left"/>
      <w:pPr>
        <w:ind w:left="4472" w:hanging="360"/>
      </w:pPr>
      <w:rPr>
        <w:rFonts w:cs="Times New Roman"/>
      </w:rPr>
    </w:lvl>
    <w:lvl w:ilvl="7" w:tplc="04090019" w:tentative="1">
      <w:start w:val="1"/>
      <w:numFmt w:val="lowerLetter"/>
      <w:lvlText w:val="%8."/>
      <w:lvlJc w:val="left"/>
      <w:pPr>
        <w:ind w:left="5192" w:hanging="360"/>
      </w:pPr>
      <w:rPr>
        <w:rFonts w:cs="Times New Roman"/>
      </w:rPr>
    </w:lvl>
    <w:lvl w:ilvl="8" w:tplc="0409001B" w:tentative="1">
      <w:start w:val="1"/>
      <w:numFmt w:val="lowerRoman"/>
      <w:lvlText w:val="%9."/>
      <w:lvlJc w:val="right"/>
      <w:pPr>
        <w:ind w:left="5912" w:hanging="180"/>
      </w:pPr>
      <w:rPr>
        <w:rFonts w:cs="Times New Roman"/>
      </w:rPr>
    </w:lvl>
  </w:abstractNum>
  <w:abstractNum w:abstractNumId="11">
    <w:nsid w:val="58450C69"/>
    <w:multiLevelType w:val="hybridMultilevel"/>
    <w:tmpl w:val="710EA7C0"/>
    <w:lvl w:ilvl="0" w:tplc="82240B8E">
      <w:start w:val="2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BD84833"/>
    <w:multiLevelType w:val="hybridMultilevel"/>
    <w:tmpl w:val="1D244EF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13">
    <w:nsid w:val="5D473BC0"/>
    <w:multiLevelType w:val="hybridMultilevel"/>
    <w:tmpl w:val="8A1A941A"/>
    <w:lvl w:ilvl="0" w:tplc="0409000F">
      <w:start w:val="1"/>
      <w:numFmt w:val="decimal"/>
      <w:lvlText w:val="%1."/>
      <w:lvlJc w:val="left"/>
      <w:pPr>
        <w:ind w:left="360" w:hanging="360"/>
      </w:p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70251485"/>
    <w:multiLevelType w:val="hybridMultilevel"/>
    <w:tmpl w:val="A394FE9A"/>
    <w:lvl w:ilvl="0" w:tplc="BB3EE722">
      <w:numFmt w:val="bullet"/>
      <w:lvlText w:val=""/>
      <w:lvlJc w:val="left"/>
      <w:pPr>
        <w:ind w:left="1288" w:hanging="360"/>
      </w:pPr>
      <w:rPr>
        <w:rFonts w:ascii="Symbol" w:eastAsia="Times New Roman" w:hAnsi="Symbol"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5">
    <w:nsid w:val="71104B87"/>
    <w:multiLevelType w:val="hybridMultilevel"/>
    <w:tmpl w:val="AB6CC03E"/>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5"/>
  </w:num>
  <w:num w:numId="2">
    <w:abstractNumId w:val="13"/>
  </w:num>
  <w:num w:numId="3">
    <w:abstractNumId w:val="7"/>
  </w:num>
  <w:num w:numId="4">
    <w:abstractNumId w:val="3"/>
  </w:num>
  <w:num w:numId="5">
    <w:abstractNumId w:val="15"/>
  </w:num>
  <w:num w:numId="6">
    <w:abstractNumId w:val="9"/>
  </w:num>
  <w:num w:numId="7">
    <w:abstractNumId w:val="6"/>
  </w:num>
  <w:num w:numId="8">
    <w:abstractNumId w:val="2"/>
  </w:num>
  <w:num w:numId="9">
    <w:abstractNumId w:val="10"/>
  </w:num>
  <w:num w:numId="10">
    <w:abstractNumId w:val="4"/>
  </w:num>
  <w:num w:numId="11">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num>
  <w:num w:numId="13">
    <w:abstractNumId w:val="11"/>
  </w:num>
  <w:num w:numId="14">
    <w:abstractNumId w:val="0"/>
  </w:num>
  <w:num w:numId="15">
    <w:abstractNumId w:val="8"/>
  </w:num>
  <w:num w:numId="16">
    <w:abstractNumId w:val="1"/>
  </w:num>
  <w:num w:numId="17">
    <w:abstractNumId w:val="12"/>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hideGrammaticalErrors/>
  <w:proofState w:spelling="clean"/>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numFmt w:val="lowerLetter"/>
    <w:endnote w:id="-1"/>
    <w:endnote w:id="0"/>
  </w:endnotePr>
  <w:compat>
    <w:balanceSingleByteDoubleByteWidth/>
    <w:doNotLeaveBackslashAlone/>
    <w:ulTrailSpace/>
    <w:doNotExpandShiftReturn/>
  </w:compat>
  <w:rsids>
    <w:rsidRoot w:val="001F2744"/>
    <w:rsid w:val="000015AB"/>
    <w:rsid w:val="0000259E"/>
    <w:rsid w:val="00003109"/>
    <w:rsid w:val="0000480C"/>
    <w:rsid w:val="0000488C"/>
    <w:rsid w:val="00005108"/>
    <w:rsid w:val="00005CD1"/>
    <w:rsid w:val="0000650F"/>
    <w:rsid w:val="000106C1"/>
    <w:rsid w:val="00011A35"/>
    <w:rsid w:val="00011D0F"/>
    <w:rsid w:val="00011E19"/>
    <w:rsid w:val="0001217D"/>
    <w:rsid w:val="000128C2"/>
    <w:rsid w:val="0001622B"/>
    <w:rsid w:val="000163BE"/>
    <w:rsid w:val="00017619"/>
    <w:rsid w:val="00017E1B"/>
    <w:rsid w:val="00020126"/>
    <w:rsid w:val="00021930"/>
    <w:rsid w:val="00022560"/>
    <w:rsid w:val="000225D0"/>
    <w:rsid w:val="00022ED2"/>
    <w:rsid w:val="000249A2"/>
    <w:rsid w:val="00035DDA"/>
    <w:rsid w:val="000370C9"/>
    <w:rsid w:val="000414D0"/>
    <w:rsid w:val="0004150F"/>
    <w:rsid w:val="00042FE0"/>
    <w:rsid w:val="000436BA"/>
    <w:rsid w:val="00043B52"/>
    <w:rsid w:val="00044754"/>
    <w:rsid w:val="00045A0C"/>
    <w:rsid w:val="00045CF3"/>
    <w:rsid w:val="00047837"/>
    <w:rsid w:val="00047EAC"/>
    <w:rsid w:val="0005015E"/>
    <w:rsid w:val="00054038"/>
    <w:rsid w:val="0005542D"/>
    <w:rsid w:val="00056A4C"/>
    <w:rsid w:val="00056EFF"/>
    <w:rsid w:val="00057248"/>
    <w:rsid w:val="00061A8B"/>
    <w:rsid w:val="0006485A"/>
    <w:rsid w:val="00064D21"/>
    <w:rsid w:val="00066234"/>
    <w:rsid w:val="000666B9"/>
    <w:rsid w:val="0006733F"/>
    <w:rsid w:val="00067375"/>
    <w:rsid w:val="00070810"/>
    <w:rsid w:val="00071895"/>
    <w:rsid w:val="00072214"/>
    <w:rsid w:val="000730FB"/>
    <w:rsid w:val="0007478A"/>
    <w:rsid w:val="00075F09"/>
    <w:rsid w:val="00081EDB"/>
    <w:rsid w:val="00082D3C"/>
    <w:rsid w:val="00082E45"/>
    <w:rsid w:val="00083337"/>
    <w:rsid w:val="00085277"/>
    <w:rsid w:val="00085573"/>
    <w:rsid w:val="000863F4"/>
    <w:rsid w:val="00086E73"/>
    <w:rsid w:val="000902D0"/>
    <w:rsid w:val="0009119F"/>
    <w:rsid w:val="00091DCE"/>
    <w:rsid w:val="00091ED2"/>
    <w:rsid w:val="00091FE1"/>
    <w:rsid w:val="00093168"/>
    <w:rsid w:val="00093CDA"/>
    <w:rsid w:val="00093F82"/>
    <w:rsid w:val="00094867"/>
    <w:rsid w:val="00094FD3"/>
    <w:rsid w:val="00095B20"/>
    <w:rsid w:val="0009637A"/>
    <w:rsid w:val="000A09DD"/>
    <w:rsid w:val="000A0A5F"/>
    <w:rsid w:val="000A2826"/>
    <w:rsid w:val="000A4DED"/>
    <w:rsid w:val="000A54C4"/>
    <w:rsid w:val="000A66E8"/>
    <w:rsid w:val="000A6F09"/>
    <w:rsid w:val="000A7477"/>
    <w:rsid w:val="000B0445"/>
    <w:rsid w:val="000B1056"/>
    <w:rsid w:val="000B1364"/>
    <w:rsid w:val="000B29D8"/>
    <w:rsid w:val="000B3D9A"/>
    <w:rsid w:val="000B5D0A"/>
    <w:rsid w:val="000B61E4"/>
    <w:rsid w:val="000B6AA1"/>
    <w:rsid w:val="000B6F29"/>
    <w:rsid w:val="000C06B4"/>
    <w:rsid w:val="000C0E16"/>
    <w:rsid w:val="000C1652"/>
    <w:rsid w:val="000C3777"/>
    <w:rsid w:val="000C45BC"/>
    <w:rsid w:val="000C5F39"/>
    <w:rsid w:val="000C5F6C"/>
    <w:rsid w:val="000C603D"/>
    <w:rsid w:val="000C6C18"/>
    <w:rsid w:val="000C724A"/>
    <w:rsid w:val="000D061C"/>
    <w:rsid w:val="000D0910"/>
    <w:rsid w:val="000D1B92"/>
    <w:rsid w:val="000D1F8B"/>
    <w:rsid w:val="000D23AB"/>
    <w:rsid w:val="000D29C8"/>
    <w:rsid w:val="000D67F7"/>
    <w:rsid w:val="000D6E1F"/>
    <w:rsid w:val="000E02DB"/>
    <w:rsid w:val="000E0593"/>
    <w:rsid w:val="000E4CAC"/>
    <w:rsid w:val="000E54C9"/>
    <w:rsid w:val="000E5EC7"/>
    <w:rsid w:val="000E674F"/>
    <w:rsid w:val="000F0472"/>
    <w:rsid w:val="000F24DF"/>
    <w:rsid w:val="000F27D6"/>
    <w:rsid w:val="000F44F5"/>
    <w:rsid w:val="000F596E"/>
    <w:rsid w:val="000F7498"/>
    <w:rsid w:val="00100B2A"/>
    <w:rsid w:val="00100B38"/>
    <w:rsid w:val="00100DEE"/>
    <w:rsid w:val="0010124B"/>
    <w:rsid w:val="0010154C"/>
    <w:rsid w:val="00101937"/>
    <w:rsid w:val="0010297B"/>
    <w:rsid w:val="00103712"/>
    <w:rsid w:val="0010450F"/>
    <w:rsid w:val="001047EC"/>
    <w:rsid w:val="0010658D"/>
    <w:rsid w:val="00106734"/>
    <w:rsid w:val="001115AF"/>
    <w:rsid w:val="0011378B"/>
    <w:rsid w:val="0011493F"/>
    <w:rsid w:val="00116F90"/>
    <w:rsid w:val="00120A84"/>
    <w:rsid w:val="00121893"/>
    <w:rsid w:val="00122AF9"/>
    <w:rsid w:val="00123CC8"/>
    <w:rsid w:val="00124A92"/>
    <w:rsid w:val="00124D0C"/>
    <w:rsid w:val="001255E0"/>
    <w:rsid w:val="00131DBB"/>
    <w:rsid w:val="001323E7"/>
    <w:rsid w:val="0013290F"/>
    <w:rsid w:val="0013461D"/>
    <w:rsid w:val="001355E8"/>
    <w:rsid w:val="00136C35"/>
    <w:rsid w:val="00136C7B"/>
    <w:rsid w:val="00136CB3"/>
    <w:rsid w:val="00136F22"/>
    <w:rsid w:val="001378A2"/>
    <w:rsid w:val="00137C97"/>
    <w:rsid w:val="001402CB"/>
    <w:rsid w:val="00140A7B"/>
    <w:rsid w:val="00143B11"/>
    <w:rsid w:val="00143DDC"/>
    <w:rsid w:val="00143E37"/>
    <w:rsid w:val="00144BA5"/>
    <w:rsid w:val="00145D3D"/>
    <w:rsid w:val="00145F25"/>
    <w:rsid w:val="0014747E"/>
    <w:rsid w:val="00147B13"/>
    <w:rsid w:val="00151479"/>
    <w:rsid w:val="00151781"/>
    <w:rsid w:val="0015181E"/>
    <w:rsid w:val="0015269E"/>
    <w:rsid w:val="00152AE1"/>
    <w:rsid w:val="00152C4D"/>
    <w:rsid w:val="001533EC"/>
    <w:rsid w:val="001536CF"/>
    <w:rsid w:val="0015396D"/>
    <w:rsid w:val="001547A7"/>
    <w:rsid w:val="00155A01"/>
    <w:rsid w:val="001562EF"/>
    <w:rsid w:val="001575EE"/>
    <w:rsid w:val="00160F78"/>
    <w:rsid w:val="0016525E"/>
    <w:rsid w:val="00165F15"/>
    <w:rsid w:val="00170FC8"/>
    <w:rsid w:val="00174786"/>
    <w:rsid w:val="0017498C"/>
    <w:rsid w:val="001800DC"/>
    <w:rsid w:val="001804B8"/>
    <w:rsid w:val="001809D2"/>
    <w:rsid w:val="001837A1"/>
    <w:rsid w:val="00183E72"/>
    <w:rsid w:val="00192C14"/>
    <w:rsid w:val="001933C6"/>
    <w:rsid w:val="00195ED8"/>
    <w:rsid w:val="00196D6C"/>
    <w:rsid w:val="0019762D"/>
    <w:rsid w:val="001A090C"/>
    <w:rsid w:val="001A1002"/>
    <w:rsid w:val="001A2CD9"/>
    <w:rsid w:val="001A36C7"/>
    <w:rsid w:val="001A3CD5"/>
    <w:rsid w:val="001A762F"/>
    <w:rsid w:val="001A7CA1"/>
    <w:rsid w:val="001B1777"/>
    <w:rsid w:val="001B27A0"/>
    <w:rsid w:val="001B468E"/>
    <w:rsid w:val="001B4B14"/>
    <w:rsid w:val="001B5ADF"/>
    <w:rsid w:val="001B5B74"/>
    <w:rsid w:val="001B5EAF"/>
    <w:rsid w:val="001B7799"/>
    <w:rsid w:val="001B7E25"/>
    <w:rsid w:val="001C1E25"/>
    <w:rsid w:val="001C2022"/>
    <w:rsid w:val="001C3666"/>
    <w:rsid w:val="001C677E"/>
    <w:rsid w:val="001C6EBE"/>
    <w:rsid w:val="001C70A9"/>
    <w:rsid w:val="001C78D5"/>
    <w:rsid w:val="001C7E56"/>
    <w:rsid w:val="001D002C"/>
    <w:rsid w:val="001D0687"/>
    <w:rsid w:val="001D1072"/>
    <w:rsid w:val="001D2B22"/>
    <w:rsid w:val="001D2BFA"/>
    <w:rsid w:val="001D322D"/>
    <w:rsid w:val="001D39E7"/>
    <w:rsid w:val="001D3D2C"/>
    <w:rsid w:val="001D3F93"/>
    <w:rsid w:val="001D4AEF"/>
    <w:rsid w:val="001D7B23"/>
    <w:rsid w:val="001E01DF"/>
    <w:rsid w:val="001E0D59"/>
    <w:rsid w:val="001E12D6"/>
    <w:rsid w:val="001E1456"/>
    <w:rsid w:val="001E1647"/>
    <w:rsid w:val="001E2B42"/>
    <w:rsid w:val="001E51C5"/>
    <w:rsid w:val="001E7870"/>
    <w:rsid w:val="001F11DC"/>
    <w:rsid w:val="001F2744"/>
    <w:rsid w:val="001F3A54"/>
    <w:rsid w:val="001F3DCB"/>
    <w:rsid w:val="001F4E37"/>
    <w:rsid w:val="001F691C"/>
    <w:rsid w:val="001F74C6"/>
    <w:rsid w:val="002006D5"/>
    <w:rsid w:val="00200D42"/>
    <w:rsid w:val="00202785"/>
    <w:rsid w:val="0020619D"/>
    <w:rsid w:val="002076DF"/>
    <w:rsid w:val="00207DA3"/>
    <w:rsid w:val="00210CA8"/>
    <w:rsid w:val="002110DB"/>
    <w:rsid w:val="002115DE"/>
    <w:rsid w:val="00211DE3"/>
    <w:rsid w:val="0021410D"/>
    <w:rsid w:val="00214B2D"/>
    <w:rsid w:val="002154FF"/>
    <w:rsid w:val="0021699B"/>
    <w:rsid w:val="00216A81"/>
    <w:rsid w:val="00216CB6"/>
    <w:rsid w:val="00216D7D"/>
    <w:rsid w:val="002173CB"/>
    <w:rsid w:val="0021776D"/>
    <w:rsid w:val="00217ABF"/>
    <w:rsid w:val="00220330"/>
    <w:rsid w:val="00221A60"/>
    <w:rsid w:val="00221CF1"/>
    <w:rsid w:val="00221ED8"/>
    <w:rsid w:val="002223CF"/>
    <w:rsid w:val="0022246A"/>
    <w:rsid w:val="00222F55"/>
    <w:rsid w:val="00223297"/>
    <w:rsid w:val="00223B48"/>
    <w:rsid w:val="0022405C"/>
    <w:rsid w:val="00224C27"/>
    <w:rsid w:val="00225AC5"/>
    <w:rsid w:val="0022731B"/>
    <w:rsid w:val="002274E5"/>
    <w:rsid w:val="00230436"/>
    <w:rsid w:val="00232714"/>
    <w:rsid w:val="0023386F"/>
    <w:rsid w:val="0023449A"/>
    <w:rsid w:val="00234C75"/>
    <w:rsid w:val="00235572"/>
    <w:rsid w:val="00240BFF"/>
    <w:rsid w:val="00240D0A"/>
    <w:rsid w:val="0024191B"/>
    <w:rsid w:val="00241BFB"/>
    <w:rsid w:val="00242595"/>
    <w:rsid w:val="00242C57"/>
    <w:rsid w:val="00243C41"/>
    <w:rsid w:val="00243D35"/>
    <w:rsid w:val="00244AEA"/>
    <w:rsid w:val="00244D09"/>
    <w:rsid w:val="0024588D"/>
    <w:rsid w:val="0024656E"/>
    <w:rsid w:val="002475BA"/>
    <w:rsid w:val="00247A14"/>
    <w:rsid w:val="00250031"/>
    <w:rsid w:val="002514FB"/>
    <w:rsid w:val="00254951"/>
    <w:rsid w:val="00254BAB"/>
    <w:rsid w:val="00255407"/>
    <w:rsid w:val="00255560"/>
    <w:rsid w:val="00255750"/>
    <w:rsid w:val="002575BC"/>
    <w:rsid w:val="00257A40"/>
    <w:rsid w:val="002626AB"/>
    <w:rsid w:val="002632FA"/>
    <w:rsid w:val="00263455"/>
    <w:rsid w:val="00266287"/>
    <w:rsid w:val="002667DE"/>
    <w:rsid w:val="002678CA"/>
    <w:rsid w:val="00267A35"/>
    <w:rsid w:val="00270BFD"/>
    <w:rsid w:val="0027211E"/>
    <w:rsid w:val="00275B40"/>
    <w:rsid w:val="00275CE5"/>
    <w:rsid w:val="002767CE"/>
    <w:rsid w:val="00276CD5"/>
    <w:rsid w:val="00277240"/>
    <w:rsid w:val="00280560"/>
    <w:rsid w:val="002806F7"/>
    <w:rsid w:val="00281833"/>
    <w:rsid w:val="00283DE2"/>
    <w:rsid w:val="00284752"/>
    <w:rsid w:val="00284E7A"/>
    <w:rsid w:val="00286F02"/>
    <w:rsid w:val="0029075F"/>
    <w:rsid w:val="00292787"/>
    <w:rsid w:val="00293037"/>
    <w:rsid w:val="00293AAC"/>
    <w:rsid w:val="00294CFB"/>
    <w:rsid w:val="00296098"/>
    <w:rsid w:val="002970BC"/>
    <w:rsid w:val="002977AC"/>
    <w:rsid w:val="00297DAB"/>
    <w:rsid w:val="002A056E"/>
    <w:rsid w:val="002A153E"/>
    <w:rsid w:val="002A1602"/>
    <w:rsid w:val="002B0279"/>
    <w:rsid w:val="002B0B60"/>
    <w:rsid w:val="002B21CD"/>
    <w:rsid w:val="002B2E9C"/>
    <w:rsid w:val="002B408A"/>
    <w:rsid w:val="002B4358"/>
    <w:rsid w:val="002B59C8"/>
    <w:rsid w:val="002B5BBC"/>
    <w:rsid w:val="002B6D87"/>
    <w:rsid w:val="002B6D9E"/>
    <w:rsid w:val="002B6FBB"/>
    <w:rsid w:val="002B7837"/>
    <w:rsid w:val="002B7994"/>
    <w:rsid w:val="002C0B20"/>
    <w:rsid w:val="002C0C27"/>
    <w:rsid w:val="002C1706"/>
    <w:rsid w:val="002C181A"/>
    <w:rsid w:val="002C1DC7"/>
    <w:rsid w:val="002C203F"/>
    <w:rsid w:val="002C239F"/>
    <w:rsid w:val="002C3479"/>
    <w:rsid w:val="002C3589"/>
    <w:rsid w:val="002C3725"/>
    <w:rsid w:val="002C4BB1"/>
    <w:rsid w:val="002C6B04"/>
    <w:rsid w:val="002D0291"/>
    <w:rsid w:val="002D2740"/>
    <w:rsid w:val="002D3119"/>
    <w:rsid w:val="002D4A3D"/>
    <w:rsid w:val="002D4B94"/>
    <w:rsid w:val="002D5736"/>
    <w:rsid w:val="002D7132"/>
    <w:rsid w:val="002E0DFC"/>
    <w:rsid w:val="002E1695"/>
    <w:rsid w:val="002E416B"/>
    <w:rsid w:val="002E464F"/>
    <w:rsid w:val="002E55CA"/>
    <w:rsid w:val="002E5A85"/>
    <w:rsid w:val="002E61F0"/>
    <w:rsid w:val="002E767E"/>
    <w:rsid w:val="002E77CD"/>
    <w:rsid w:val="002F0183"/>
    <w:rsid w:val="002F05C0"/>
    <w:rsid w:val="002F09D0"/>
    <w:rsid w:val="002F2337"/>
    <w:rsid w:val="002F3F43"/>
    <w:rsid w:val="002F534C"/>
    <w:rsid w:val="002F6423"/>
    <w:rsid w:val="003019B4"/>
    <w:rsid w:val="0030277E"/>
    <w:rsid w:val="00302C09"/>
    <w:rsid w:val="00304BD0"/>
    <w:rsid w:val="003065D4"/>
    <w:rsid w:val="003066A7"/>
    <w:rsid w:val="00307709"/>
    <w:rsid w:val="00310097"/>
    <w:rsid w:val="00310246"/>
    <w:rsid w:val="00310703"/>
    <w:rsid w:val="00310AD8"/>
    <w:rsid w:val="003115C9"/>
    <w:rsid w:val="00313EC0"/>
    <w:rsid w:val="00315739"/>
    <w:rsid w:val="003159CE"/>
    <w:rsid w:val="00316F33"/>
    <w:rsid w:val="003202DB"/>
    <w:rsid w:val="003203D2"/>
    <w:rsid w:val="00320722"/>
    <w:rsid w:val="00322374"/>
    <w:rsid w:val="0032238A"/>
    <w:rsid w:val="00322601"/>
    <w:rsid w:val="003233AA"/>
    <w:rsid w:val="003234F3"/>
    <w:rsid w:val="00323A9A"/>
    <w:rsid w:val="00324085"/>
    <w:rsid w:val="003265C1"/>
    <w:rsid w:val="00327ACB"/>
    <w:rsid w:val="003307CD"/>
    <w:rsid w:val="00331B49"/>
    <w:rsid w:val="00332980"/>
    <w:rsid w:val="00335779"/>
    <w:rsid w:val="003362D3"/>
    <w:rsid w:val="0033655E"/>
    <w:rsid w:val="00337476"/>
    <w:rsid w:val="00337EA8"/>
    <w:rsid w:val="00340044"/>
    <w:rsid w:val="0034011E"/>
    <w:rsid w:val="0034017C"/>
    <w:rsid w:val="00345ADA"/>
    <w:rsid w:val="003475DB"/>
    <w:rsid w:val="0035336D"/>
    <w:rsid w:val="00354BB4"/>
    <w:rsid w:val="00354F1F"/>
    <w:rsid w:val="0035714C"/>
    <w:rsid w:val="0035783F"/>
    <w:rsid w:val="00357C35"/>
    <w:rsid w:val="00360305"/>
    <w:rsid w:val="00362707"/>
    <w:rsid w:val="003632E1"/>
    <w:rsid w:val="003636DC"/>
    <w:rsid w:val="00363918"/>
    <w:rsid w:val="00363A27"/>
    <w:rsid w:val="003640B2"/>
    <w:rsid w:val="00365FAA"/>
    <w:rsid w:val="003667BF"/>
    <w:rsid w:val="0037009A"/>
    <w:rsid w:val="003706DE"/>
    <w:rsid w:val="00371581"/>
    <w:rsid w:val="003715A5"/>
    <w:rsid w:val="0037184A"/>
    <w:rsid w:val="00373902"/>
    <w:rsid w:val="00373FAB"/>
    <w:rsid w:val="00374E23"/>
    <w:rsid w:val="00375AB4"/>
    <w:rsid w:val="00375BB8"/>
    <w:rsid w:val="003764AD"/>
    <w:rsid w:val="003775B1"/>
    <w:rsid w:val="0037768C"/>
    <w:rsid w:val="00380F9D"/>
    <w:rsid w:val="00382641"/>
    <w:rsid w:val="00382A28"/>
    <w:rsid w:val="00383330"/>
    <w:rsid w:val="003834A2"/>
    <w:rsid w:val="00383AFC"/>
    <w:rsid w:val="003851F1"/>
    <w:rsid w:val="0038645D"/>
    <w:rsid w:val="00386641"/>
    <w:rsid w:val="00392B31"/>
    <w:rsid w:val="00392CBC"/>
    <w:rsid w:val="003936AC"/>
    <w:rsid w:val="0039372B"/>
    <w:rsid w:val="003940C7"/>
    <w:rsid w:val="00395E0B"/>
    <w:rsid w:val="00396BC1"/>
    <w:rsid w:val="00397ECB"/>
    <w:rsid w:val="003A0054"/>
    <w:rsid w:val="003A0CEF"/>
    <w:rsid w:val="003A186C"/>
    <w:rsid w:val="003A24FC"/>
    <w:rsid w:val="003A2BC6"/>
    <w:rsid w:val="003A335B"/>
    <w:rsid w:val="003A3451"/>
    <w:rsid w:val="003A37AA"/>
    <w:rsid w:val="003A3E4C"/>
    <w:rsid w:val="003A59C1"/>
    <w:rsid w:val="003A5BFA"/>
    <w:rsid w:val="003A7749"/>
    <w:rsid w:val="003B05A9"/>
    <w:rsid w:val="003B0688"/>
    <w:rsid w:val="003B0918"/>
    <w:rsid w:val="003B2866"/>
    <w:rsid w:val="003B32EA"/>
    <w:rsid w:val="003B446A"/>
    <w:rsid w:val="003B59B1"/>
    <w:rsid w:val="003B61E4"/>
    <w:rsid w:val="003B7076"/>
    <w:rsid w:val="003C0114"/>
    <w:rsid w:val="003C1A4E"/>
    <w:rsid w:val="003C2A27"/>
    <w:rsid w:val="003C35FF"/>
    <w:rsid w:val="003C4FF7"/>
    <w:rsid w:val="003C6808"/>
    <w:rsid w:val="003C6E13"/>
    <w:rsid w:val="003D120E"/>
    <w:rsid w:val="003D5424"/>
    <w:rsid w:val="003D6A54"/>
    <w:rsid w:val="003D7780"/>
    <w:rsid w:val="003E06A1"/>
    <w:rsid w:val="003E0C48"/>
    <w:rsid w:val="003E4CA5"/>
    <w:rsid w:val="003E50BD"/>
    <w:rsid w:val="003E58F6"/>
    <w:rsid w:val="003E6F05"/>
    <w:rsid w:val="003E7079"/>
    <w:rsid w:val="003E7751"/>
    <w:rsid w:val="003E7B2E"/>
    <w:rsid w:val="003F0986"/>
    <w:rsid w:val="003F278D"/>
    <w:rsid w:val="003F2855"/>
    <w:rsid w:val="003F2B8D"/>
    <w:rsid w:val="003F5771"/>
    <w:rsid w:val="003F6F59"/>
    <w:rsid w:val="004000BB"/>
    <w:rsid w:val="004001BC"/>
    <w:rsid w:val="00401B52"/>
    <w:rsid w:val="00402E9F"/>
    <w:rsid w:val="00402F39"/>
    <w:rsid w:val="004032A8"/>
    <w:rsid w:val="0040351E"/>
    <w:rsid w:val="004038F2"/>
    <w:rsid w:val="004046B2"/>
    <w:rsid w:val="00404CEC"/>
    <w:rsid w:val="00405A6A"/>
    <w:rsid w:val="00405C3C"/>
    <w:rsid w:val="004130C3"/>
    <w:rsid w:val="004144D6"/>
    <w:rsid w:val="004219AF"/>
    <w:rsid w:val="004224DA"/>
    <w:rsid w:val="00423529"/>
    <w:rsid w:val="004243CF"/>
    <w:rsid w:val="00424569"/>
    <w:rsid w:val="0042796D"/>
    <w:rsid w:val="00427B05"/>
    <w:rsid w:val="004304CD"/>
    <w:rsid w:val="00431046"/>
    <w:rsid w:val="00431269"/>
    <w:rsid w:val="004320A6"/>
    <w:rsid w:val="00433353"/>
    <w:rsid w:val="0043358A"/>
    <w:rsid w:val="004339B5"/>
    <w:rsid w:val="0043477E"/>
    <w:rsid w:val="00435E73"/>
    <w:rsid w:val="004360BF"/>
    <w:rsid w:val="00437604"/>
    <w:rsid w:val="004402D8"/>
    <w:rsid w:val="00440D1E"/>
    <w:rsid w:val="0044309F"/>
    <w:rsid w:val="004433F1"/>
    <w:rsid w:val="0044376A"/>
    <w:rsid w:val="00443F3F"/>
    <w:rsid w:val="0044506A"/>
    <w:rsid w:val="004466EC"/>
    <w:rsid w:val="004519D4"/>
    <w:rsid w:val="00451E35"/>
    <w:rsid w:val="00451F6B"/>
    <w:rsid w:val="00453D69"/>
    <w:rsid w:val="004540C3"/>
    <w:rsid w:val="00454622"/>
    <w:rsid w:val="00454844"/>
    <w:rsid w:val="0045625E"/>
    <w:rsid w:val="00456F8D"/>
    <w:rsid w:val="0045773F"/>
    <w:rsid w:val="0046185E"/>
    <w:rsid w:val="00461937"/>
    <w:rsid w:val="00461A2E"/>
    <w:rsid w:val="00462839"/>
    <w:rsid w:val="0046361B"/>
    <w:rsid w:val="004642B0"/>
    <w:rsid w:val="004654EC"/>
    <w:rsid w:val="00465928"/>
    <w:rsid w:val="00465E4F"/>
    <w:rsid w:val="0046752A"/>
    <w:rsid w:val="00471101"/>
    <w:rsid w:val="0047128E"/>
    <w:rsid w:val="0047205F"/>
    <w:rsid w:val="00473F2D"/>
    <w:rsid w:val="004756FF"/>
    <w:rsid w:val="00476FBF"/>
    <w:rsid w:val="00481636"/>
    <w:rsid w:val="00481E9C"/>
    <w:rsid w:val="00485D10"/>
    <w:rsid w:val="00486336"/>
    <w:rsid w:val="00486345"/>
    <w:rsid w:val="00490556"/>
    <w:rsid w:val="00490E63"/>
    <w:rsid w:val="004911B5"/>
    <w:rsid w:val="00491633"/>
    <w:rsid w:val="00492F7A"/>
    <w:rsid w:val="004931BB"/>
    <w:rsid w:val="00493418"/>
    <w:rsid w:val="00493CAB"/>
    <w:rsid w:val="004945D8"/>
    <w:rsid w:val="00494BA7"/>
    <w:rsid w:val="004959C4"/>
    <w:rsid w:val="00496346"/>
    <w:rsid w:val="0049664F"/>
    <w:rsid w:val="00497C9A"/>
    <w:rsid w:val="004A0CDC"/>
    <w:rsid w:val="004A0DFF"/>
    <w:rsid w:val="004A1DA4"/>
    <w:rsid w:val="004A2C49"/>
    <w:rsid w:val="004A4EF6"/>
    <w:rsid w:val="004A63C4"/>
    <w:rsid w:val="004A7881"/>
    <w:rsid w:val="004B0720"/>
    <w:rsid w:val="004B0842"/>
    <w:rsid w:val="004B0F81"/>
    <w:rsid w:val="004B10B0"/>
    <w:rsid w:val="004B147B"/>
    <w:rsid w:val="004B15B8"/>
    <w:rsid w:val="004B3DF8"/>
    <w:rsid w:val="004B480C"/>
    <w:rsid w:val="004B6380"/>
    <w:rsid w:val="004B7662"/>
    <w:rsid w:val="004C1638"/>
    <w:rsid w:val="004C1713"/>
    <w:rsid w:val="004C1761"/>
    <w:rsid w:val="004C1793"/>
    <w:rsid w:val="004C1FDF"/>
    <w:rsid w:val="004C22FD"/>
    <w:rsid w:val="004C28E6"/>
    <w:rsid w:val="004C43C7"/>
    <w:rsid w:val="004C5FD1"/>
    <w:rsid w:val="004C75AA"/>
    <w:rsid w:val="004C7EF6"/>
    <w:rsid w:val="004D35F9"/>
    <w:rsid w:val="004D3747"/>
    <w:rsid w:val="004D4069"/>
    <w:rsid w:val="004D46F8"/>
    <w:rsid w:val="004D498A"/>
    <w:rsid w:val="004D4D8B"/>
    <w:rsid w:val="004D5716"/>
    <w:rsid w:val="004D74D5"/>
    <w:rsid w:val="004D7F69"/>
    <w:rsid w:val="004D7F6F"/>
    <w:rsid w:val="004E088A"/>
    <w:rsid w:val="004E1D7F"/>
    <w:rsid w:val="004E21FA"/>
    <w:rsid w:val="004E2C7F"/>
    <w:rsid w:val="004E37A9"/>
    <w:rsid w:val="004E3C65"/>
    <w:rsid w:val="004E40E0"/>
    <w:rsid w:val="004E4388"/>
    <w:rsid w:val="004E4E14"/>
    <w:rsid w:val="004E5148"/>
    <w:rsid w:val="004E5676"/>
    <w:rsid w:val="004E66EB"/>
    <w:rsid w:val="004E6A8F"/>
    <w:rsid w:val="004E6BB8"/>
    <w:rsid w:val="004E7170"/>
    <w:rsid w:val="004E76FB"/>
    <w:rsid w:val="004F14AE"/>
    <w:rsid w:val="004F1987"/>
    <w:rsid w:val="004F26B2"/>
    <w:rsid w:val="004F3968"/>
    <w:rsid w:val="004F40A0"/>
    <w:rsid w:val="004F6AFD"/>
    <w:rsid w:val="004F7316"/>
    <w:rsid w:val="004F78ED"/>
    <w:rsid w:val="005041AB"/>
    <w:rsid w:val="0050458D"/>
    <w:rsid w:val="005051C1"/>
    <w:rsid w:val="0050539C"/>
    <w:rsid w:val="00505688"/>
    <w:rsid w:val="00507D5D"/>
    <w:rsid w:val="00511744"/>
    <w:rsid w:val="00513252"/>
    <w:rsid w:val="00513745"/>
    <w:rsid w:val="00514489"/>
    <w:rsid w:val="00515132"/>
    <w:rsid w:val="00515693"/>
    <w:rsid w:val="005201A7"/>
    <w:rsid w:val="005223F2"/>
    <w:rsid w:val="00522C0E"/>
    <w:rsid w:val="00522CD0"/>
    <w:rsid w:val="00525669"/>
    <w:rsid w:val="00525D54"/>
    <w:rsid w:val="005267B8"/>
    <w:rsid w:val="00527986"/>
    <w:rsid w:val="00530106"/>
    <w:rsid w:val="005305C1"/>
    <w:rsid w:val="00530AED"/>
    <w:rsid w:val="00532348"/>
    <w:rsid w:val="00534563"/>
    <w:rsid w:val="00534F58"/>
    <w:rsid w:val="00535C8E"/>
    <w:rsid w:val="005369B2"/>
    <w:rsid w:val="00536F59"/>
    <w:rsid w:val="005379F4"/>
    <w:rsid w:val="00541629"/>
    <w:rsid w:val="00541634"/>
    <w:rsid w:val="0054211F"/>
    <w:rsid w:val="00542338"/>
    <w:rsid w:val="0054246F"/>
    <w:rsid w:val="00543C36"/>
    <w:rsid w:val="00544396"/>
    <w:rsid w:val="0054580F"/>
    <w:rsid w:val="00545861"/>
    <w:rsid w:val="00546837"/>
    <w:rsid w:val="005525DD"/>
    <w:rsid w:val="00552702"/>
    <w:rsid w:val="00553F6F"/>
    <w:rsid w:val="005543C0"/>
    <w:rsid w:val="005546C6"/>
    <w:rsid w:val="00554881"/>
    <w:rsid w:val="00560460"/>
    <w:rsid w:val="00561192"/>
    <w:rsid w:val="00562033"/>
    <w:rsid w:val="0056464E"/>
    <w:rsid w:val="0056479E"/>
    <w:rsid w:val="005650E2"/>
    <w:rsid w:val="00570E41"/>
    <w:rsid w:val="0057165A"/>
    <w:rsid w:val="00571A8D"/>
    <w:rsid w:val="00571A8F"/>
    <w:rsid w:val="00572F5F"/>
    <w:rsid w:val="00574101"/>
    <w:rsid w:val="0057496E"/>
    <w:rsid w:val="00575185"/>
    <w:rsid w:val="00575362"/>
    <w:rsid w:val="005756A6"/>
    <w:rsid w:val="00575708"/>
    <w:rsid w:val="005763BE"/>
    <w:rsid w:val="00580A13"/>
    <w:rsid w:val="00583D7A"/>
    <w:rsid w:val="005846DD"/>
    <w:rsid w:val="00585CE9"/>
    <w:rsid w:val="00587175"/>
    <w:rsid w:val="00587632"/>
    <w:rsid w:val="00587A80"/>
    <w:rsid w:val="005903E2"/>
    <w:rsid w:val="00590A97"/>
    <w:rsid w:val="005910AE"/>
    <w:rsid w:val="00592277"/>
    <w:rsid w:val="00592B2E"/>
    <w:rsid w:val="0059314B"/>
    <w:rsid w:val="00593EEA"/>
    <w:rsid w:val="00593FDB"/>
    <w:rsid w:val="00594760"/>
    <w:rsid w:val="00596F4D"/>
    <w:rsid w:val="00597CCD"/>
    <w:rsid w:val="005A0462"/>
    <w:rsid w:val="005A0B49"/>
    <w:rsid w:val="005A0E60"/>
    <w:rsid w:val="005A1C2A"/>
    <w:rsid w:val="005A1CA1"/>
    <w:rsid w:val="005A4A90"/>
    <w:rsid w:val="005A5E9C"/>
    <w:rsid w:val="005A7745"/>
    <w:rsid w:val="005B1240"/>
    <w:rsid w:val="005B13F7"/>
    <w:rsid w:val="005B1466"/>
    <w:rsid w:val="005B2552"/>
    <w:rsid w:val="005B2DFF"/>
    <w:rsid w:val="005B326E"/>
    <w:rsid w:val="005B4E65"/>
    <w:rsid w:val="005B5FA2"/>
    <w:rsid w:val="005B679B"/>
    <w:rsid w:val="005B77BB"/>
    <w:rsid w:val="005C0043"/>
    <w:rsid w:val="005C4373"/>
    <w:rsid w:val="005C6960"/>
    <w:rsid w:val="005C6F28"/>
    <w:rsid w:val="005D17B4"/>
    <w:rsid w:val="005D3E1E"/>
    <w:rsid w:val="005D42A6"/>
    <w:rsid w:val="005D438D"/>
    <w:rsid w:val="005D58E5"/>
    <w:rsid w:val="005D59EF"/>
    <w:rsid w:val="005E059A"/>
    <w:rsid w:val="005E06E9"/>
    <w:rsid w:val="005E0A94"/>
    <w:rsid w:val="005E1639"/>
    <w:rsid w:val="005E547F"/>
    <w:rsid w:val="005E5669"/>
    <w:rsid w:val="005E602E"/>
    <w:rsid w:val="005E6CA6"/>
    <w:rsid w:val="005F04D7"/>
    <w:rsid w:val="005F2A7D"/>
    <w:rsid w:val="005F3DB3"/>
    <w:rsid w:val="005F6BD9"/>
    <w:rsid w:val="005F74A7"/>
    <w:rsid w:val="00600BEF"/>
    <w:rsid w:val="0060287C"/>
    <w:rsid w:val="00602D77"/>
    <w:rsid w:val="00603D68"/>
    <w:rsid w:val="00603E65"/>
    <w:rsid w:val="00604554"/>
    <w:rsid w:val="0060517A"/>
    <w:rsid w:val="006064E5"/>
    <w:rsid w:val="00606882"/>
    <w:rsid w:val="00607032"/>
    <w:rsid w:val="00607221"/>
    <w:rsid w:val="00610B44"/>
    <w:rsid w:val="00611FA5"/>
    <w:rsid w:val="006124BA"/>
    <w:rsid w:val="00612A14"/>
    <w:rsid w:val="00612BA7"/>
    <w:rsid w:val="00612C88"/>
    <w:rsid w:val="006131A9"/>
    <w:rsid w:val="00613D4B"/>
    <w:rsid w:val="00614845"/>
    <w:rsid w:val="00615A7D"/>
    <w:rsid w:val="006174CE"/>
    <w:rsid w:val="00617D2D"/>
    <w:rsid w:val="00620154"/>
    <w:rsid w:val="006205E3"/>
    <w:rsid w:val="00620D12"/>
    <w:rsid w:val="0062122C"/>
    <w:rsid w:val="00621EBA"/>
    <w:rsid w:val="0062241A"/>
    <w:rsid w:val="00622CC1"/>
    <w:rsid w:val="00624988"/>
    <w:rsid w:val="006304DF"/>
    <w:rsid w:val="00631F7C"/>
    <w:rsid w:val="00633F58"/>
    <w:rsid w:val="00635580"/>
    <w:rsid w:val="0063585C"/>
    <w:rsid w:val="00635987"/>
    <w:rsid w:val="006418EE"/>
    <w:rsid w:val="006422EF"/>
    <w:rsid w:val="006426A1"/>
    <w:rsid w:val="00642BE1"/>
    <w:rsid w:val="00643687"/>
    <w:rsid w:val="00644425"/>
    <w:rsid w:val="006478C9"/>
    <w:rsid w:val="0064798F"/>
    <w:rsid w:val="006519A9"/>
    <w:rsid w:val="00653C1C"/>
    <w:rsid w:val="00654A09"/>
    <w:rsid w:val="0065586C"/>
    <w:rsid w:val="00657DBE"/>
    <w:rsid w:val="00662BC1"/>
    <w:rsid w:val="0066334F"/>
    <w:rsid w:val="00663965"/>
    <w:rsid w:val="0066531E"/>
    <w:rsid w:val="00666B9E"/>
    <w:rsid w:val="00671E0F"/>
    <w:rsid w:val="00672F17"/>
    <w:rsid w:val="00672FDC"/>
    <w:rsid w:val="00673520"/>
    <w:rsid w:val="0067374A"/>
    <w:rsid w:val="00673C1C"/>
    <w:rsid w:val="00674237"/>
    <w:rsid w:val="0067653E"/>
    <w:rsid w:val="00677EA8"/>
    <w:rsid w:val="006800FD"/>
    <w:rsid w:val="00680941"/>
    <w:rsid w:val="00680CE9"/>
    <w:rsid w:val="006820FF"/>
    <w:rsid w:val="006835F2"/>
    <w:rsid w:val="006838D4"/>
    <w:rsid w:val="00683FFC"/>
    <w:rsid w:val="006868A7"/>
    <w:rsid w:val="0068756D"/>
    <w:rsid w:val="0069024A"/>
    <w:rsid w:val="00690A10"/>
    <w:rsid w:val="006941CB"/>
    <w:rsid w:val="00695A62"/>
    <w:rsid w:val="0069760D"/>
    <w:rsid w:val="00697BC4"/>
    <w:rsid w:val="006A1089"/>
    <w:rsid w:val="006A16F2"/>
    <w:rsid w:val="006A1BCD"/>
    <w:rsid w:val="006A3BB8"/>
    <w:rsid w:val="006A43F2"/>
    <w:rsid w:val="006A480D"/>
    <w:rsid w:val="006A56BF"/>
    <w:rsid w:val="006A6653"/>
    <w:rsid w:val="006A6BA2"/>
    <w:rsid w:val="006B1236"/>
    <w:rsid w:val="006B1447"/>
    <w:rsid w:val="006B14B4"/>
    <w:rsid w:val="006B2FD7"/>
    <w:rsid w:val="006B37B7"/>
    <w:rsid w:val="006B688E"/>
    <w:rsid w:val="006C05EF"/>
    <w:rsid w:val="006C0C7B"/>
    <w:rsid w:val="006C2B36"/>
    <w:rsid w:val="006C2E27"/>
    <w:rsid w:val="006C3320"/>
    <w:rsid w:val="006C389D"/>
    <w:rsid w:val="006C393D"/>
    <w:rsid w:val="006C456B"/>
    <w:rsid w:val="006C4981"/>
    <w:rsid w:val="006C655C"/>
    <w:rsid w:val="006D00AB"/>
    <w:rsid w:val="006D0475"/>
    <w:rsid w:val="006D1D65"/>
    <w:rsid w:val="006D40DE"/>
    <w:rsid w:val="006D4404"/>
    <w:rsid w:val="006D47EA"/>
    <w:rsid w:val="006D488A"/>
    <w:rsid w:val="006D5CA8"/>
    <w:rsid w:val="006D63DB"/>
    <w:rsid w:val="006D7EB6"/>
    <w:rsid w:val="006E182A"/>
    <w:rsid w:val="006E34F7"/>
    <w:rsid w:val="006E4D15"/>
    <w:rsid w:val="006E5A0C"/>
    <w:rsid w:val="006E5AF5"/>
    <w:rsid w:val="006E669F"/>
    <w:rsid w:val="006E793C"/>
    <w:rsid w:val="006E7AA6"/>
    <w:rsid w:val="006F0783"/>
    <w:rsid w:val="006F454B"/>
    <w:rsid w:val="006F47BC"/>
    <w:rsid w:val="006F548A"/>
    <w:rsid w:val="006F5872"/>
    <w:rsid w:val="006F5CC3"/>
    <w:rsid w:val="007003B0"/>
    <w:rsid w:val="007011F4"/>
    <w:rsid w:val="00701E8B"/>
    <w:rsid w:val="00703425"/>
    <w:rsid w:val="00703FC2"/>
    <w:rsid w:val="00705AB9"/>
    <w:rsid w:val="00705B88"/>
    <w:rsid w:val="00711258"/>
    <w:rsid w:val="00712314"/>
    <w:rsid w:val="00713F54"/>
    <w:rsid w:val="007214C7"/>
    <w:rsid w:val="00723071"/>
    <w:rsid w:val="007242B6"/>
    <w:rsid w:val="007253BE"/>
    <w:rsid w:val="00725C87"/>
    <w:rsid w:val="0072762D"/>
    <w:rsid w:val="00727BB5"/>
    <w:rsid w:val="00730369"/>
    <w:rsid w:val="007311CF"/>
    <w:rsid w:val="00731202"/>
    <w:rsid w:val="007315CD"/>
    <w:rsid w:val="00731B17"/>
    <w:rsid w:val="00732611"/>
    <w:rsid w:val="00732F3E"/>
    <w:rsid w:val="007358AB"/>
    <w:rsid w:val="00737622"/>
    <w:rsid w:val="0074165F"/>
    <w:rsid w:val="00742E69"/>
    <w:rsid w:val="00743E54"/>
    <w:rsid w:val="0074402F"/>
    <w:rsid w:val="007475E4"/>
    <w:rsid w:val="00747CC0"/>
    <w:rsid w:val="0075035D"/>
    <w:rsid w:val="00750558"/>
    <w:rsid w:val="00750D11"/>
    <w:rsid w:val="0075121A"/>
    <w:rsid w:val="007529DC"/>
    <w:rsid w:val="007543B6"/>
    <w:rsid w:val="00755AF2"/>
    <w:rsid w:val="0075685C"/>
    <w:rsid w:val="00764D02"/>
    <w:rsid w:val="00767FAC"/>
    <w:rsid w:val="007711E7"/>
    <w:rsid w:val="0077140D"/>
    <w:rsid w:val="0077340B"/>
    <w:rsid w:val="007738FE"/>
    <w:rsid w:val="0077398D"/>
    <w:rsid w:val="00773DF2"/>
    <w:rsid w:val="00774090"/>
    <w:rsid w:val="00774D64"/>
    <w:rsid w:val="00776F83"/>
    <w:rsid w:val="00777A8A"/>
    <w:rsid w:val="00777DC5"/>
    <w:rsid w:val="00780D81"/>
    <w:rsid w:val="00781801"/>
    <w:rsid w:val="0078224A"/>
    <w:rsid w:val="00782BD2"/>
    <w:rsid w:val="00784B6E"/>
    <w:rsid w:val="00784C88"/>
    <w:rsid w:val="007854FD"/>
    <w:rsid w:val="00786396"/>
    <w:rsid w:val="00791B7B"/>
    <w:rsid w:val="0079345F"/>
    <w:rsid w:val="00794F64"/>
    <w:rsid w:val="00796097"/>
    <w:rsid w:val="00796A8D"/>
    <w:rsid w:val="007A1711"/>
    <w:rsid w:val="007A229B"/>
    <w:rsid w:val="007B0CBD"/>
    <w:rsid w:val="007B25B4"/>
    <w:rsid w:val="007B2769"/>
    <w:rsid w:val="007B2D09"/>
    <w:rsid w:val="007B304A"/>
    <w:rsid w:val="007B39D0"/>
    <w:rsid w:val="007B3F7D"/>
    <w:rsid w:val="007B5179"/>
    <w:rsid w:val="007B5945"/>
    <w:rsid w:val="007B6827"/>
    <w:rsid w:val="007B6FB3"/>
    <w:rsid w:val="007C01D8"/>
    <w:rsid w:val="007C0AD4"/>
    <w:rsid w:val="007C0C59"/>
    <w:rsid w:val="007C0E75"/>
    <w:rsid w:val="007C1D05"/>
    <w:rsid w:val="007C1EF6"/>
    <w:rsid w:val="007C2276"/>
    <w:rsid w:val="007C315E"/>
    <w:rsid w:val="007C3781"/>
    <w:rsid w:val="007C3CE9"/>
    <w:rsid w:val="007C667B"/>
    <w:rsid w:val="007C6C53"/>
    <w:rsid w:val="007C6E2E"/>
    <w:rsid w:val="007C6EC4"/>
    <w:rsid w:val="007D2472"/>
    <w:rsid w:val="007D270A"/>
    <w:rsid w:val="007D2F53"/>
    <w:rsid w:val="007D3CD3"/>
    <w:rsid w:val="007D3DE6"/>
    <w:rsid w:val="007D545A"/>
    <w:rsid w:val="007D56EF"/>
    <w:rsid w:val="007D6F58"/>
    <w:rsid w:val="007E08CD"/>
    <w:rsid w:val="007E2C8E"/>
    <w:rsid w:val="007E3204"/>
    <w:rsid w:val="007E3217"/>
    <w:rsid w:val="007E4539"/>
    <w:rsid w:val="007E5A6B"/>
    <w:rsid w:val="007E6095"/>
    <w:rsid w:val="007E729C"/>
    <w:rsid w:val="007E7C0F"/>
    <w:rsid w:val="007F1FD9"/>
    <w:rsid w:val="007F2FD5"/>
    <w:rsid w:val="007F4A1F"/>
    <w:rsid w:val="007F5098"/>
    <w:rsid w:val="007F5190"/>
    <w:rsid w:val="007F5CEB"/>
    <w:rsid w:val="007F6361"/>
    <w:rsid w:val="007F7517"/>
    <w:rsid w:val="007F7E3B"/>
    <w:rsid w:val="008007E2"/>
    <w:rsid w:val="008016FB"/>
    <w:rsid w:val="008037A0"/>
    <w:rsid w:val="008061EE"/>
    <w:rsid w:val="008062F6"/>
    <w:rsid w:val="00806303"/>
    <w:rsid w:val="008072A6"/>
    <w:rsid w:val="008072F4"/>
    <w:rsid w:val="0081017A"/>
    <w:rsid w:val="00811F37"/>
    <w:rsid w:val="00812695"/>
    <w:rsid w:val="00814ADB"/>
    <w:rsid w:val="00815D5D"/>
    <w:rsid w:val="008165C8"/>
    <w:rsid w:val="00817E68"/>
    <w:rsid w:val="0082091E"/>
    <w:rsid w:val="008221CC"/>
    <w:rsid w:val="008225F0"/>
    <w:rsid w:val="008245A6"/>
    <w:rsid w:val="00826F36"/>
    <w:rsid w:val="00832526"/>
    <w:rsid w:val="00833658"/>
    <w:rsid w:val="0083495F"/>
    <w:rsid w:val="00837CFB"/>
    <w:rsid w:val="008409F9"/>
    <w:rsid w:val="00842A8F"/>
    <w:rsid w:val="0084345C"/>
    <w:rsid w:val="00846AF8"/>
    <w:rsid w:val="008527F8"/>
    <w:rsid w:val="00853613"/>
    <w:rsid w:val="00854415"/>
    <w:rsid w:val="008570DA"/>
    <w:rsid w:val="0085729C"/>
    <w:rsid w:val="00860719"/>
    <w:rsid w:val="00860DAA"/>
    <w:rsid w:val="00862027"/>
    <w:rsid w:val="008625AF"/>
    <w:rsid w:val="00862A2E"/>
    <w:rsid w:val="008654C5"/>
    <w:rsid w:val="008654E5"/>
    <w:rsid w:val="008670D4"/>
    <w:rsid w:val="00870F0F"/>
    <w:rsid w:val="00870F2F"/>
    <w:rsid w:val="00874919"/>
    <w:rsid w:val="00875AAE"/>
    <w:rsid w:val="00875D5C"/>
    <w:rsid w:val="00877603"/>
    <w:rsid w:val="00880271"/>
    <w:rsid w:val="00880942"/>
    <w:rsid w:val="00880D90"/>
    <w:rsid w:val="0088280E"/>
    <w:rsid w:val="008851F3"/>
    <w:rsid w:val="0088567C"/>
    <w:rsid w:val="008874A9"/>
    <w:rsid w:val="008874EA"/>
    <w:rsid w:val="00887AD2"/>
    <w:rsid w:val="00890368"/>
    <w:rsid w:val="00891594"/>
    <w:rsid w:val="0089455F"/>
    <w:rsid w:val="008947C1"/>
    <w:rsid w:val="00895BBD"/>
    <w:rsid w:val="00896985"/>
    <w:rsid w:val="008A1107"/>
    <w:rsid w:val="008A23CE"/>
    <w:rsid w:val="008A3912"/>
    <w:rsid w:val="008A39BE"/>
    <w:rsid w:val="008A43F7"/>
    <w:rsid w:val="008A52DE"/>
    <w:rsid w:val="008A55CD"/>
    <w:rsid w:val="008A560E"/>
    <w:rsid w:val="008A6B2C"/>
    <w:rsid w:val="008B0005"/>
    <w:rsid w:val="008B094D"/>
    <w:rsid w:val="008B0FCA"/>
    <w:rsid w:val="008B1576"/>
    <w:rsid w:val="008B1CBD"/>
    <w:rsid w:val="008B24B4"/>
    <w:rsid w:val="008B26F1"/>
    <w:rsid w:val="008B32D2"/>
    <w:rsid w:val="008B4DA7"/>
    <w:rsid w:val="008B511F"/>
    <w:rsid w:val="008B5613"/>
    <w:rsid w:val="008B6887"/>
    <w:rsid w:val="008B6E67"/>
    <w:rsid w:val="008B7B5C"/>
    <w:rsid w:val="008C06EC"/>
    <w:rsid w:val="008C0B40"/>
    <w:rsid w:val="008C1216"/>
    <w:rsid w:val="008C195B"/>
    <w:rsid w:val="008C3292"/>
    <w:rsid w:val="008C5C42"/>
    <w:rsid w:val="008C6863"/>
    <w:rsid w:val="008D0615"/>
    <w:rsid w:val="008D1EBD"/>
    <w:rsid w:val="008D332F"/>
    <w:rsid w:val="008D4636"/>
    <w:rsid w:val="008D4E01"/>
    <w:rsid w:val="008D542E"/>
    <w:rsid w:val="008D572E"/>
    <w:rsid w:val="008D63C0"/>
    <w:rsid w:val="008D789D"/>
    <w:rsid w:val="008E007F"/>
    <w:rsid w:val="008E09B8"/>
    <w:rsid w:val="008E31AC"/>
    <w:rsid w:val="008E3D7C"/>
    <w:rsid w:val="008E41BD"/>
    <w:rsid w:val="008E450F"/>
    <w:rsid w:val="008E4F9A"/>
    <w:rsid w:val="008F1D52"/>
    <w:rsid w:val="008F266F"/>
    <w:rsid w:val="008F30EC"/>
    <w:rsid w:val="008F370C"/>
    <w:rsid w:val="008F38AB"/>
    <w:rsid w:val="008F4B59"/>
    <w:rsid w:val="008F5082"/>
    <w:rsid w:val="008F5FFD"/>
    <w:rsid w:val="008F6695"/>
    <w:rsid w:val="00902750"/>
    <w:rsid w:val="009031EA"/>
    <w:rsid w:val="00903D79"/>
    <w:rsid w:val="00910BC8"/>
    <w:rsid w:val="00911754"/>
    <w:rsid w:val="00911D5C"/>
    <w:rsid w:val="00914D77"/>
    <w:rsid w:val="009179E8"/>
    <w:rsid w:val="00917FDD"/>
    <w:rsid w:val="009206B0"/>
    <w:rsid w:val="00921292"/>
    <w:rsid w:val="00925F51"/>
    <w:rsid w:val="00925FC1"/>
    <w:rsid w:val="00926CEA"/>
    <w:rsid w:val="00927E20"/>
    <w:rsid w:val="00930C14"/>
    <w:rsid w:val="00931DF8"/>
    <w:rsid w:val="009322B9"/>
    <w:rsid w:val="00932431"/>
    <w:rsid w:val="00933212"/>
    <w:rsid w:val="009344D3"/>
    <w:rsid w:val="00937667"/>
    <w:rsid w:val="00940590"/>
    <w:rsid w:val="00940D39"/>
    <w:rsid w:val="00940DEB"/>
    <w:rsid w:val="009414AD"/>
    <w:rsid w:val="009442E8"/>
    <w:rsid w:val="009444DA"/>
    <w:rsid w:val="009450D9"/>
    <w:rsid w:val="00945749"/>
    <w:rsid w:val="0094684D"/>
    <w:rsid w:val="00946CD7"/>
    <w:rsid w:val="00947206"/>
    <w:rsid w:val="009475AB"/>
    <w:rsid w:val="00952B6B"/>
    <w:rsid w:val="009539D1"/>
    <w:rsid w:val="0095482B"/>
    <w:rsid w:val="00955A54"/>
    <w:rsid w:val="00956F31"/>
    <w:rsid w:val="00961317"/>
    <w:rsid w:val="00961EFA"/>
    <w:rsid w:val="00963EE7"/>
    <w:rsid w:val="00965FDF"/>
    <w:rsid w:val="00967B2B"/>
    <w:rsid w:val="00970879"/>
    <w:rsid w:val="00971A94"/>
    <w:rsid w:val="009723CC"/>
    <w:rsid w:val="009760D1"/>
    <w:rsid w:val="00977EDB"/>
    <w:rsid w:val="00981761"/>
    <w:rsid w:val="0098179A"/>
    <w:rsid w:val="00982D5E"/>
    <w:rsid w:val="00983C77"/>
    <w:rsid w:val="00983E64"/>
    <w:rsid w:val="0098425E"/>
    <w:rsid w:val="00987C99"/>
    <w:rsid w:val="00990270"/>
    <w:rsid w:val="009902C0"/>
    <w:rsid w:val="009912A7"/>
    <w:rsid w:val="00992842"/>
    <w:rsid w:val="0099392C"/>
    <w:rsid w:val="00993DCB"/>
    <w:rsid w:val="0099525C"/>
    <w:rsid w:val="009955F6"/>
    <w:rsid w:val="00996E89"/>
    <w:rsid w:val="00997361"/>
    <w:rsid w:val="009A048D"/>
    <w:rsid w:val="009A1CD5"/>
    <w:rsid w:val="009A2628"/>
    <w:rsid w:val="009A3496"/>
    <w:rsid w:val="009A3960"/>
    <w:rsid w:val="009A45A3"/>
    <w:rsid w:val="009A496E"/>
    <w:rsid w:val="009A588F"/>
    <w:rsid w:val="009A63A4"/>
    <w:rsid w:val="009A6B6C"/>
    <w:rsid w:val="009A6B93"/>
    <w:rsid w:val="009A728A"/>
    <w:rsid w:val="009A7CBC"/>
    <w:rsid w:val="009B0D43"/>
    <w:rsid w:val="009B1359"/>
    <w:rsid w:val="009B1DA7"/>
    <w:rsid w:val="009B2B9D"/>
    <w:rsid w:val="009B41E9"/>
    <w:rsid w:val="009B59AA"/>
    <w:rsid w:val="009B60FF"/>
    <w:rsid w:val="009B717E"/>
    <w:rsid w:val="009B7C41"/>
    <w:rsid w:val="009C23B3"/>
    <w:rsid w:val="009C3A1B"/>
    <w:rsid w:val="009C673D"/>
    <w:rsid w:val="009C68C8"/>
    <w:rsid w:val="009C6CC8"/>
    <w:rsid w:val="009C76D2"/>
    <w:rsid w:val="009C7CBC"/>
    <w:rsid w:val="009D1876"/>
    <w:rsid w:val="009D19D5"/>
    <w:rsid w:val="009D2EFA"/>
    <w:rsid w:val="009D36DA"/>
    <w:rsid w:val="009D51B1"/>
    <w:rsid w:val="009D6FC3"/>
    <w:rsid w:val="009D7268"/>
    <w:rsid w:val="009D75B3"/>
    <w:rsid w:val="009E0BE9"/>
    <w:rsid w:val="009E132F"/>
    <w:rsid w:val="009E1428"/>
    <w:rsid w:val="009E2D51"/>
    <w:rsid w:val="009E5718"/>
    <w:rsid w:val="009E661E"/>
    <w:rsid w:val="009E6E3D"/>
    <w:rsid w:val="009E756D"/>
    <w:rsid w:val="009E7FDF"/>
    <w:rsid w:val="009F17EC"/>
    <w:rsid w:val="009F3385"/>
    <w:rsid w:val="009F50CF"/>
    <w:rsid w:val="009F5A2A"/>
    <w:rsid w:val="009F661D"/>
    <w:rsid w:val="009F67F1"/>
    <w:rsid w:val="009F740E"/>
    <w:rsid w:val="009F7EDC"/>
    <w:rsid w:val="00A00139"/>
    <w:rsid w:val="00A00753"/>
    <w:rsid w:val="00A00759"/>
    <w:rsid w:val="00A013F4"/>
    <w:rsid w:val="00A01A86"/>
    <w:rsid w:val="00A02349"/>
    <w:rsid w:val="00A024A9"/>
    <w:rsid w:val="00A029EB"/>
    <w:rsid w:val="00A035A0"/>
    <w:rsid w:val="00A0418B"/>
    <w:rsid w:val="00A06E12"/>
    <w:rsid w:val="00A07E35"/>
    <w:rsid w:val="00A11FA5"/>
    <w:rsid w:val="00A12ABC"/>
    <w:rsid w:val="00A12C35"/>
    <w:rsid w:val="00A14F47"/>
    <w:rsid w:val="00A152BD"/>
    <w:rsid w:val="00A16476"/>
    <w:rsid w:val="00A16E73"/>
    <w:rsid w:val="00A17E25"/>
    <w:rsid w:val="00A218AF"/>
    <w:rsid w:val="00A22408"/>
    <w:rsid w:val="00A2259B"/>
    <w:rsid w:val="00A22BB9"/>
    <w:rsid w:val="00A22E91"/>
    <w:rsid w:val="00A239E8"/>
    <w:rsid w:val="00A23B3F"/>
    <w:rsid w:val="00A23DC6"/>
    <w:rsid w:val="00A24E09"/>
    <w:rsid w:val="00A2520F"/>
    <w:rsid w:val="00A2545F"/>
    <w:rsid w:val="00A27764"/>
    <w:rsid w:val="00A27DFC"/>
    <w:rsid w:val="00A27FAD"/>
    <w:rsid w:val="00A30AF7"/>
    <w:rsid w:val="00A31D8B"/>
    <w:rsid w:val="00A32FD6"/>
    <w:rsid w:val="00A3320A"/>
    <w:rsid w:val="00A37BB9"/>
    <w:rsid w:val="00A4064A"/>
    <w:rsid w:val="00A414C4"/>
    <w:rsid w:val="00A41FD6"/>
    <w:rsid w:val="00A42491"/>
    <w:rsid w:val="00A43340"/>
    <w:rsid w:val="00A43B68"/>
    <w:rsid w:val="00A43DB2"/>
    <w:rsid w:val="00A45309"/>
    <w:rsid w:val="00A473BB"/>
    <w:rsid w:val="00A474BB"/>
    <w:rsid w:val="00A47B75"/>
    <w:rsid w:val="00A501EC"/>
    <w:rsid w:val="00A52222"/>
    <w:rsid w:val="00A52B7A"/>
    <w:rsid w:val="00A54B80"/>
    <w:rsid w:val="00A54FED"/>
    <w:rsid w:val="00A5663D"/>
    <w:rsid w:val="00A56B53"/>
    <w:rsid w:val="00A56B85"/>
    <w:rsid w:val="00A60DAD"/>
    <w:rsid w:val="00A6325E"/>
    <w:rsid w:val="00A65950"/>
    <w:rsid w:val="00A732F8"/>
    <w:rsid w:val="00A76A91"/>
    <w:rsid w:val="00A76E1C"/>
    <w:rsid w:val="00A77E3C"/>
    <w:rsid w:val="00A806C8"/>
    <w:rsid w:val="00A80E00"/>
    <w:rsid w:val="00A814BA"/>
    <w:rsid w:val="00A822B8"/>
    <w:rsid w:val="00A84354"/>
    <w:rsid w:val="00A84923"/>
    <w:rsid w:val="00A85326"/>
    <w:rsid w:val="00A8596B"/>
    <w:rsid w:val="00A8756C"/>
    <w:rsid w:val="00A87F82"/>
    <w:rsid w:val="00A91669"/>
    <w:rsid w:val="00A96903"/>
    <w:rsid w:val="00A975C3"/>
    <w:rsid w:val="00AA0579"/>
    <w:rsid w:val="00AA0C8F"/>
    <w:rsid w:val="00AA23D8"/>
    <w:rsid w:val="00AA30CE"/>
    <w:rsid w:val="00AA5253"/>
    <w:rsid w:val="00AA587F"/>
    <w:rsid w:val="00AA6C6C"/>
    <w:rsid w:val="00AA7CE0"/>
    <w:rsid w:val="00AB15D2"/>
    <w:rsid w:val="00AB1B8A"/>
    <w:rsid w:val="00AB2ED8"/>
    <w:rsid w:val="00AB376C"/>
    <w:rsid w:val="00AB3882"/>
    <w:rsid w:val="00AB76A9"/>
    <w:rsid w:val="00AC149B"/>
    <w:rsid w:val="00AC252D"/>
    <w:rsid w:val="00AC418C"/>
    <w:rsid w:val="00AC4BF8"/>
    <w:rsid w:val="00AC5E60"/>
    <w:rsid w:val="00AC6AAC"/>
    <w:rsid w:val="00AD1427"/>
    <w:rsid w:val="00AD26EF"/>
    <w:rsid w:val="00AD3740"/>
    <w:rsid w:val="00AD458B"/>
    <w:rsid w:val="00AD5126"/>
    <w:rsid w:val="00AD5AB0"/>
    <w:rsid w:val="00AD62A3"/>
    <w:rsid w:val="00AD66B3"/>
    <w:rsid w:val="00AD7F56"/>
    <w:rsid w:val="00AD7F60"/>
    <w:rsid w:val="00AE3877"/>
    <w:rsid w:val="00AE4151"/>
    <w:rsid w:val="00AE611E"/>
    <w:rsid w:val="00AE7D9D"/>
    <w:rsid w:val="00AE7EAC"/>
    <w:rsid w:val="00AF3270"/>
    <w:rsid w:val="00AF43A2"/>
    <w:rsid w:val="00AF46DB"/>
    <w:rsid w:val="00AF7B29"/>
    <w:rsid w:val="00B00AF9"/>
    <w:rsid w:val="00B02992"/>
    <w:rsid w:val="00B02A32"/>
    <w:rsid w:val="00B04535"/>
    <w:rsid w:val="00B04EE8"/>
    <w:rsid w:val="00B0601E"/>
    <w:rsid w:val="00B065AF"/>
    <w:rsid w:val="00B07395"/>
    <w:rsid w:val="00B0796C"/>
    <w:rsid w:val="00B10A06"/>
    <w:rsid w:val="00B12511"/>
    <w:rsid w:val="00B13645"/>
    <w:rsid w:val="00B14B89"/>
    <w:rsid w:val="00B16572"/>
    <w:rsid w:val="00B20D22"/>
    <w:rsid w:val="00B21173"/>
    <w:rsid w:val="00B217F3"/>
    <w:rsid w:val="00B21F3A"/>
    <w:rsid w:val="00B22124"/>
    <w:rsid w:val="00B223AE"/>
    <w:rsid w:val="00B23AC9"/>
    <w:rsid w:val="00B26A5C"/>
    <w:rsid w:val="00B27597"/>
    <w:rsid w:val="00B314B4"/>
    <w:rsid w:val="00B3203C"/>
    <w:rsid w:val="00B32C81"/>
    <w:rsid w:val="00B33B83"/>
    <w:rsid w:val="00B346AE"/>
    <w:rsid w:val="00B34826"/>
    <w:rsid w:val="00B36D7D"/>
    <w:rsid w:val="00B40462"/>
    <w:rsid w:val="00B441D7"/>
    <w:rsid w:val="00B4532E"/>
    <w:rsid w:val="00B454B3"/>
    <w:rsid w:val="00B4605C"/>
    <w:rsid w:val="00B469CC"/>
    <w:rsid w:val="00B50288"/>
    <w:rsid w:val="00B50761"/>
    <w:rsid w:val="00B51998"/>
    <w:rsid w:val="00B538FD"/>
    <w:rsid w:val="00B53B3A"/>
    <w:rsid w:val="00B56945"/>
    <w:rsid w:val="00B5698C"/>
    <w:rsid w:val="00B56D61"/>
    <w:rsid w:val="00B60821"/>
    <w:rsid w:val="00B608ED"/>
    <w:rsid w:val="00B6110E"/>
    <w:rsid w:val="00B61F09"/>
    <w:rsid w:val="00B648E3"/>
    <w:rsid w:val="00B65568"/>
    <w:rsid w:val="00B65954"/>
    <w:rsid w:val="00B65C06"/>
    <w:rsid w:val="00B667C6"/>
    <w:rsid w:val="00B66DC6"/>
    <w:rsid w:val="00B71C22"/>
    <w:rsid w:val="00B7249D"/>
    <w:rsid w:val="00B725A7"/>
    <w:rsid w:val="00B739A0"/>
    <w:rsid w:val="00B73A45"/>
    <w:rsid w:val="00B747ED"/>
    <w:rsid w:val="00B75547"/>
    <w:rsid w:val="00B770E3"/>
    <w:rsid w:val="00B80D87"/>
    <w:rsid w:val="00B812BA"/>
    <w:rsid w:val="00B81BCF"/>
    <w:rsid w:val="00B83009"/>
    <w:rsid w:val="00B830D0"/>
    <w:rsid w:val="00B83D4E"/>
    <w:rsid w:val="00B845BC"/>
    <w:rsid w:val="00B86DBD"/>
    <w:rsid w:val="00B87B2D"/>
    <w:rsid w:val="00B87C88"/>
    <w:rsid w:val="00B90321"/>
    <w:rsid w:val="00B913DD"/>
    <w:rsid w:val="00B920B9"/>
    <w:rsid w:val="00B9221E"/>
    <w:rsid w:val="00B9275F"/>
    <w:rsid w:val="00B92D78"/>
    <w:rsid w:val="00B93053"/>
    <w:rsid w:val="00B93B23"/>
    <w:rsid w:val="00B93D80"/>
    <w:rsid w:val="00B93F05"/>
    <w:rsid w:val="00B9443D"/>
    <w:rsid w:val="00B9473D"/>
    <w:rsid w:val="00B954D8"/>
    <w:rsid w:val="00B955C1"/>
    <w:rsid w:val="00B96B95"/>
    <w:rsid w:val="00BA02BF"/>
    <w:rsid w:val="00BA0E42"/>
    <w:rsid w:val="00BA2D33"/>
    <w:rsid w:val="00BA3C8E"/>
    <w:rsid w:val="00BA7A05"/>
    <w:rsid w:val="00BB03BF"/>
    <w:rsid w:val="00BB388D"/>
    <w:rsid w:val="00BB3F92"/>
    <w:rsid w:val="00BB4107"/>
    <w:rsid w:val="00BB664C"/>
    <w:rsid w:val="00BB6D0F"/>
    <w:rsid w:val="00BB78B8"/>
    <w:rsid w:val="00BC02A4"/>
    <w:rsid w:val="00BC1B04"/>
    <w:rsid w:val="00BC1C28"/>
    <w:rsid w:val="00BC2632"/>
    <w:rsid w:val="00BC2C72"/>
    <w:rsid w:val="00BC2F17"/>
    <w:rsid w:val="00BC4685"/>
    <w:rsid w:val="00BC5179"/>
    <w:rsid w:val="00BC6CF0"/>
    <w:rsid w:val="00BD25A7"/>
    <w:rsid w:val="00BD298D"/>
    <w:rsid w:val="00BD31A8"/>
    <w:rsid w:val="00BD329D"/>
    <w:rsid w:val="00BD45A0"/>
    <w:rsid w:val="00BD66DB"/>
    <w:rsid w:val="00BD794D"/>
    <w:rsid w:val="00BD7B06"/>
    <w:rsid w:val="00BE03D0"/>
    <w:rsid w:val="00BE1992"/>
    <w:rsid w:val="00BE47A2"/>
    <w:rsid w:val="00BE634B"/>
    <w:rsid w:val="00BE65DB"/>
    <w:rsid w:val="00BE75F7"/>
    <w:rsid w:val="00BE7EEE"/>
    <w:rsid w:val="00BF06B6"/>
    <w:rsid w:val="00BF26A8"/>
    <w:rsid w:val="00BF6D57"/>
    <w:rsid w:val="00BF7650"/>
    <w:rsid w:val="00C00F1B"/>
    <w:rsid w:val="00C01D28"/>
    <w:rsid w:val="00C03B60"/>
    <w:rsid w:val="00C04C5C"/>
    <w:rsid w:val="00C04E4D"/>
    <w:rsid w:val="00C0595B"/>
    <w:rsid w:val="00C106B2"/>
    <w:rsid w:val="00C112A4"/>
    <w:rsid w:val="00C12604"/>
    <w:rsid w:val="00C1267E"/>
    <w:rsid w:val="00C13B39"/>
    <w:rsid w:val="00C15471"/>
    <w:rsid w:val="00C15D41"/>
    <w:rsid w:val="00C167AD"/>
    <w:rsid w:val="00C222A6"/>
    <w:rsid w:val="00C23CA5"/>
    <w:rsid w:val="00C24231"/>
    <w:rsid w:val="00C246C0"/>
    <w:rsid w:val="00C2524C"/>
    <w:rsid w:val="00C26100"/>
    <w:rsid w:val="00C263D1"/>
    <w:rsid w:val="00C26565"/>
    <w:rsid w:val="00C2762D"/>
    <w:rsid w:val="00C30210"/>
    <w:rsid w:val="00C302DC"/>
    <w:rsid w:val="00C30535"/>
    <w:rsid w:val="00C31380"/>
    <w:rsid w:val="00C31B00"/>
    <w:rsid w:val="00C33C4B"/>
    <w:rsid w:val="00C34D64"/>
    <w:rsid w:val="00C363B1"/>
    <w:rsid w:val="00C36D18"/>
    <w:rsid w:val="00C377A5"/>
    <w:rsid w:val="00C3797F"/>
    <w:rsid w:val="00C37C52"/>
    <w:rsid w:val="00C403FA"/>
    <w:rsid w:val="00C41319"/>
    <w:rsid w:val="00C41E72"/>
    <w:rsid w:val="00C41ED5"/>
    <w:rsid w:val="00C42157"/>
    <w:rsid w:val="00C435A3"/>
    <w:rsid w:val="00C440ED"/>
    <w:rsid w:val="00C45804"/>
    <w:rsid w:val="00C45E32"/>
    <w:rsid w:val="00C50379"/>
    <w:rsid w:val="00C50872"/>
    <w:rsid w:val="00C50941"/>
    <w:rsid w:val="00C532BE"/>
    <w:rsid w:val="00C61630"/>
    <w:rsid w:val="00C63A3A"/>
    <w:rsid w:val="00C63D1F"/>
    <w:rsid w:val="00C63F93"/>
    <w:rsid w:val="00C65613"/>
    <w:rsid w:val="00C65AB2"/>
    <w:rsid w:val="00C65AE6"/>
    <w:rsid w:val="00C66555"/>
    <w:rsid w:val="00C7084F"/>
    <w:rsid w:val="00C71336"/>
    <w:rsid w:val="00C719F2"/>
    <w:rsid w:val="00C76ACC"/>
    <w:rsid w:val="00C7713D"/>
    <w:rsid w:val="00C82375"/>
    <w:rsid w:val="00C8289E"/>
    <w:rsid w:val="00C82FEC"/>
    <w:rsid w:val="00C84D84"/>
    <w:rsid w:val="00C8519C"/>
    <w:rsid w:val="00C8634A"/>
    <w:rsid w:val="00C8647C"/>
    <w:rsid w:val="00C86E7A"/>
    <w:rsid w:val="00C871F9"/>
    <w:rsid w:val="00C91A59"/>
    <w:rsid w:val="00C92751"/>
    <w:rsid w:val="00C92BBE"/>
    <w:rsid w:val="00C9334E"/>
    <w:rsid w:val="00C93FC5"/>
    <w:rsid w:val="00C94057"/>
    <w:rsid w:val="00C948FF"/>
    <w:rsid w:val="00C94E1E"/>
    <w:rsid w:val="00CA16F0"/>
    <w:rsid w:val="00CA1B6D"/>
    <w:rsid w:val="00CA1C0F"/>
    <w:rsid w:val="00CA293E"/>
    <w:rsid w:val="00CA32D5"/>
    <w:rsid w:val="00CA3A3E"/>
    <w:rsid w:val="00CB0EB5"/>
    <w:rsid w:val="00CB23EE"/>
    <w:rsid w:val="00CB2A1F"/>
    <w:rsid w:val="00CB3264"/>
    <w:rsid w:val="00CB4EC5"/>
    <w:rsid w:val="00CB5198"/>
    <w:rsid w:val="00CB6085"/>
    <w:rsid w:val="00CB6BD8"/>
    <w:rsid w:val="00CB6F44"/>
    <w:rsid w:val="00CC0FA4"/>
    <w:rsid w:val="00CC1AA5"/>
    <w:rsid w:val="00CC1B9E"/>
    <w:rsid w:val="00CC1DF1"/>
    <w:rsid w:val="00CC1E68"/>
    <w:rsid w:val="00CC2798"/>
    <w:rsid w:val="00CC49EC"/>
    <w:rsid w:val="00CC62D0"/>
    <w:rsid w:val="00CC640A"/>
    <w:rsid w:val="00CC6ED1"/>
    <w:rsid w:val="00CD0961"/>
    <w:rsid w:val="00CD3362"/>
    <w:rsid w:val="00CD44D3"/>
    <w:rsid w:val="00CD575C"/>
    <w:rsid w:val="00CD578F"/>
    <w:rsid w:val="00CD5C21"/>
    <w:rsid w:val="00CD5EC2"/>
    <w:rsid w:val="00CD6421"/>
    <w:rsid w:val="00CE0F60"/>
    <w:rsid w:val="00CE1455"/>
    <w:rsid w:val="00CE1DFA"/>
    <w:rsid w:val="00CE3DF7"/>
    <w:rsid w:val="00CE441C"/>
    <w:rsid w:val="00CE4425"/>
    <w:rsid w:val="00CE4623"/>
    <w:rsid w:val="00CE5B2D"/>
    <w:rsid w:val="00CE5BE2"/>
    <w:rsid w:val="00CE5C3E"/>
    <w:rsid w:val="00CE60CC"/>
    <w:rsid w:val="00CE7080"/>
    <w:rsid w:val="00CE71BA"/>
    <w:rsid w:val="00CF0474"/>
    <w:rsid w:val="00CF1F4A"/>
    <w:rsid w:val="00CF33D5"/>
    <w:rsid w:val="00D0123C"/>
    <w:rsid w:val="00D02F6E"/>
    <w:rsid w:val="00D0390F"/>
    <w:rsid w:val="00D051F0"/>
    <w:rsid w:val="00D05CC2"/>
    <w:rsid w:val="00D077E3"/>
    <w:rsid w:val="00D07972"/>
    <w:rsid w:val="00D1072F"/>
    <w:rsid w:val="00D10DB1"/>
    <w:rsid w:val="00D11385"/>
    <w:rsid w:val="00D12B46"/>
    <w:rsid w:val="00D12C4F"/>
    <w:rsid w:val="00D141E4"/>
    <w:rsid w:val="00D162F8"/>
    <w:rsid w:val="00D163D2"/>
    <w:rsid w:val="00D176D1"/>
    <w:rsid w:val="00D17F6C"/>
    <w:rsid w:val="00D20ADA"/>
    <w:rsid w:val="00D21D9F"/>
    <w:rsid w:val="00D2417F"/>
    <w:rsid w:val="00D2451C"/>
    <w:rsid w:val="00D26299"/>
    <w:rsid w:val="00D26576"/>
    <w:rsid w:val="00D27092"/>
    <w:rsid w:val="00D27191"/>
    <w:rsid w:val="00D31B1B"/>
    <w:rsid w:val="00D34B31"/>
    <w:rsid w:val="00D34EA5"/>
    <w:rsid w:val="00D3502E"/>
    <w:rsid w:val="00D35429"/>
    <w:rsid w:val="00D35AFF"/>
    <w:rsid w:val="00D35EE6"/>
    <w:rsid w:val="00D37BC5"/>
    <w:rsid w:val="00D402BC"/>
    <w:rsid w:val="00D40F30"/>
    <w:rsid w:val="00D42116"/>
    <w:rsid w:val="00D42140"/>
    <w:rsid w:val="00D45D3C"/>
    <w:rsid w:val="00D45D76"/>
    <w:rsid w:val="00D4619B"/>
    <w:rsid w:val="00D50142"/>
    <w:rsid w:val="00D5190D"/>
    <w:rsid w:val="00D529EA"/>
    <w:rsid w:val="00D52F37"/>
    <w:rsid w:val="00D53073"/>
    <w:rsid w:val="00D552F8"/>
    <w:rsid w:val="00D5677A"/>
    <w:rsid w:val="00D57C6C"/>
    <w:rsid w:val="00D57EC7"/>
    <w:rsid w:val="00D6199C"/>
    <w:rsid w:val="00D6302C"/>
    <w:rsid w:val="00D63B31"/>
    <w:rsid w:val="00D64DF6"/>
    <w:rsid w:val="00D65A47"/>
    <w:rsid w:val="00D660B5"/>
    <w:rsid w:val="00D674BE"/>
    <w:rsid w:val="00D67784"/>
    <w:rsid w:val="00D67BA0"/>
    <w:rsid w:val="00D70720"/>
    <w:rsid w:val="00D71E91"/>
    <w:rsid w:val="00D73C6E"/>
    <w:rsid w:val="00D75389"/>
    <w:rsid w:val="00D76259"/>
    <w:rsid w:val="00D76428"/>
    <w:rsid w:val="00D80428"/>
    <w:rsid w:val="00D83B71"/>
    <w:rsid w:val="00D83D67"/>
    <w:rsid w:val="00D83F10"/>
    <w:rsid w:val="00D86C36"/>
    <w:rsid w:val="00D9029F"/>
    <w:rsid w:val="00D90654"/>
    <w:rsid w:val="00D936B2"/>
    <w:rsid w:val="00D97775"/>
    <w:rsid w:val="00D9796F"/>
    <w:rsid w:val="00DA17E2"/>
    <w:rsid w:val="00DA6005"/>
    <w:rsid w:val="00DB0261"/>
    <w:rsid w:val="00DB15F2"/>
    <w:rsid w:val="00DB1F8B"/>
    <w:rsid w:val="00DB3ED6"/>
    <w:rsid w:val="00DB6ADE"/>
    <w:rsid w:val="00DB7563"/>
    <w:rsid w:val="00DB7609"/>
    <w:rsid w:val="00DC069E"/>
    <w:rsid w:val="00DC0D97"/>
    <w:rsid w:val="00DC1A45"/>
    <w:rsid w:val="00DC2EEC"/>
    <w:rsid w:val="00DC40A4"/>
    <w:rsid w:val="00DC4287"/>
    <w:rsid w:val="00DC67CE"/>
    <w:rsid w:val="00DD04CD"/>
    <w:rsid w:val="00DD0D94"/>
    <w:rsid w:val="00DD1D39"/>
    <w:rsid w:val="00DD31F5"/>
    <w:rsid w:val="00DD3469"/>
    <w:rsid w:val="00DD4691"/>
    <w:rsid w:val="00DD5C79"/>
    <w:rsid w:val="00DD6FB6"/>
    <w:rsid w:val="00DE03C8"/>
    <w:rsid w:val="00DE0773"/>
    <w:rsid w:val="00DE0A3E"/>
    <w:rsid w:val="00DE12F8"/>
    <w:rsid w:val="00DE1D4D"/>
    <w:rsid w:val="00DE1F14"/>
    <w:rsid w:val="00DE2D3B"/>
    <w:rsid w:val="00DE3043"/>
    <w:rsid w:val="00DE47C3"/>
    <w:rsid w:val="00DE526C"/>
    <w:rsid w:val="00DE7983"/>
    <w:rsid w:val="00DF17CC"/>
    <w:rsid w:val="00DF3698"/>
    <w:rsid w:val="00DF3C13"/>
    <w:rsid w:val="00DF4778"/>
    <w:rsid w:val="00DF5F9C"/>
    <w:rsid w:val="00DF71F8"/>
    <w:rsid w:val="00DF7946"/>
    <w:rsid w:val="00E001AB"/>
    <w:rsid w:val="00E02265"/>
    <w:rsid w:val="00E0486E"/>
    <w:rsid w:val="00E048DA"/>
    <w:rsid w:val="00E060C3"/>
    <w:rsid w:val="00E06608"/>
    <w:rsid w:val="00E0711D"/>
    <w:rsid w:val="00E0756F"/>
    <w:rsid w:val="00E07FD3"/>
    <w:rsid w:val="00E10082"/>
    <w:rsid w:val="00E11A49"/>
    <w:rsid w:val="00E2018F"/>
    <w:rsid w:val="00E20335"/>
    <w:rsid w:val="00E2062A"/>
    <w:rsid w:val="00E2159B"/>
    <w:rsid w:val="00E22B42"/>
    <w:rsid w:val="00E22E2E"/>
    <w:rsid w:val="00E23001"/>
    <w:rsid w:val="00E24AC8"/>
    <w:rsid w:val="00E25087"/>
    <w:rsid w:val="00E26649"/>
    <w:rsid w:val="00E272C6"/>
    <w:rsid w:val="00E3165D"/>
    <w:rsid w:val="00E32767"/>
    <w:rsid w:val="00E32E8B"/>
    <w:rsid w:val="00E33DF0"/>
    <w:rsid w:val="00E33DF2"/>
    <w:rsid w:val="00E34E7A"/>
    <w:rsid w:val="00E36EE8"/>
    <w:rsid w:val="00E37EC5"/>
    <w:rsid w:val="00E411CC"/>
    <w:rsid w:val="00E43DF7"/>
    <w:rsid w:val="00E45129"/>
    <w:rsid w:val="00E459C0"/>
    <w:rsid w:val="00E47C29"/>
    <w:rsid w:val="00E47E4C"/>
    <w:rsid w:val="00E51103"/>
    <w:rsid w:val="00E5182D"/>
    <w:rsid w:val="00E51E20"/>
    <w:rsid w:val="00E526CC"/>
    <w:rsid w:val="00E5515C"/>
    <w:rsid w:val="00E55632"/>
    <w:rsid w:val="00E558CE"/>
    <w:rsid w:val="00E562A2"/>
    <w:rsid w:val="00E56911"/>
    <w:rsid w:val="00E573A2"/>
    <w:rsid w:val="00E57464"/>
    <w:rsid w:val="00E575E0"/>
    <w:rsid w:val="00E57691"/>
    <w:rsid w:val="00E57B6C"/>
    <w:rsid w:val="00E607EF"/>
    <w:rsid w:val="00E61E5C"/>
    <w:rsid w:val="00E61F30"/>
    <w:rsid w:val="00E62544"/>
    <w:rsid w:val="00E656F0"/>
    <w:rsid w:val="00E65930"/>
    <w:rsid w:val="00E660B4"/>
    <w:rsid w:val="00E70E54"/>
    <w:rsid w:val="00E7178C"/>
    <w:rsid w:val="00E71AF9"/>
    <w:rsid w:val="00E71D90"/>
    <w:rsid w:val="00E74619"/>
    <w:rsid w:val="00E7527E"/>
    <w:rsid w:val="00E75BE7"/>
    <w:rsid w:val="00E75CDD"/>
    <w:rsid w:val="00E75F15"/>
    <w:rsid w:val="00E8580A"/>
    <w:rsid w:val="00E909FF"/>
    <w:rsid w:val="00E90AC0"/>
    <w:rsid w:val="00E9137E"/>
    <w:rsid w:val="00E947AC"/>
    <w:rsid w:val="00E94967"/>
    <w:rsid w:val="00E95406"/>
    <w:rsid w:val="00E9686C"/>
    <w:rsid w:val="00EA04F9"/>
    <w:rsid w:val="00EA200F"/>
    <w:rsid w:val="00EA2955"/>
    <w:rsid w:val="00EA4787"/>
    <w:rsid w:val="00EA66EE"/>
    <w:rsid w:val="00EA7ED7"/>
    <w:rsid w:val="00EB108A"/>
    <w:rsid w:val="00EB1A1F"/>
    <w:rsid w:val="00EB36F6"/>
    <w:rsid w:val="00EB3D78"/>
    <w:rsid w:val="00EC076D"/>
    <w:rsid w:val="00EC0921"/>
    <w:rsid w:val="00EC1272"/>
    <w:rsid w:val="00EC25DB"/>
    <w:rsid w:val="00EC272C"/>
    <w:rsid w:val="00EC2B94"/>
    <w:rsid w:val="00EC406F"/>
    <w:rsid w:val="00EC4B9A"/>
    <w:rsid w:val="00EC7A6A"/>
    <w:rsid w:val="00ED1851"/>
    <w:rsid w:val="00ED6059"/>
    <w:rsid w:val="00ED61F0"/>
    <w:rsid w:val="00ED69B9"/>
    <w:rsid w:val="00EE0F98"/>
    <w:rsid w:val="00EE100D"/>
    <w:rsid w:val="00EE1BB0"/>
    <w:rsid w:val="00EE227B"/>
    <w:rsid w:val="00EE351E"/>
    <w:rsid w:val="00EE372C"/>
    <w:rsid w:val="00EE3EC3"/>
    <w:rsid w:val="00EE57DF"/>
    <w:rsid w:val="00EE60A5"/>
    <w:rsid w:val="00EE6212"/>
    <w:rsid w:val="00EF03E1"/>
    <w:rsid w:val="00EF07E4"/>
    <w:rsid w:val="00EF136C"/>
    <w:rsid w:val="00EF314A"/>
    <w:rsid w:val="00EF43EE"/>
    <w:rsid w:val="00EF4BD0"/>
    <w:rsid w:val="00EF4E42"/>
    <w:rsid w:val="00EF5002"/>
    <w:rsid w:val="00EF587C"/>
    <w:rsid w:val="00EF6641"/>
    <w:rsid w:val="00EF75AA"/>
    <w:rsid w:val="00EF7B2F"/>
    <w:rsid w:val="00F00428"/>
    <w:rsid w:val="00F00432"/>
    <w:rsid w:val="00F01090"/>
    <w:rsid w:val="00F02675"/>
    <w:rsid w:val="00F03606"/>
    <w:rsid w:val="00F049FC"/>
    <w:rsid w:val="00F07E78"/>
    <w:rsid w:val="00F10336"/>
    <w:rsid w:val="00F105E9"/>
    <w:rsid w:val="00F1191D"/>
    <w:rsid w:val="00F11EE2"/>
    <w:rsid w:val="00F12036"/>
    <w:rsid w:val="00F12543"/>
    <w:rsid w:val="00F126B1"/>
    <w:rsid w:val="00F139DB"/>
    <w:rsid w:val="00F14246"/>
    <w:rsid w:val="00F15635"/>
    <w:rsid w:val="00F177F0"/>
    <w:rsid w:val="00F17F36"/>
    <w:rsid w:val="00F20489"/>
    <w:rsid w:val="00F21E2C"/>
    <w:rsid w:val="00F21EB9"/>
    <w:rsid w:val="00F22B2D"/>
    <w:rsid w:val="00F24436"/>
    <w:rsid w:val="00F2450A"/>
    <w:rsid w:val="00F26B02"/>
    <w:rsid w:val="00F27C10"/>
    <w:rsid w:val="00F30C96"/>
    <w:rsid w:val="00F3153C"/>
    <w:rsid w:val="00F32C90"/>
    <w:rsid w:val="00F334E1"/>
    <w:rsid w:val="00F340EF"/>
    <w:rsid w:val="00F34346"/>
    <w:rsid w:val="00F3469E"/>
    <w:rsid w:val="00F3523A"/>
    <w:rsid w:val="00F3547E"/>
    <w:rsid w:val="00F37F52"/>
    <w:rsid w:val="00F4189A"/>
    <w:rsid w:val="00F41E6A"/>
    <w:rsid w:val="00F42252"/>
    <w:rsid w:val="00F43993"/>
    <w:rsid w:val="00F444A5"/>
    <w:rsid w:val="00F4464C"/>
    <w:rsid w:val="00F44BC5"/>
    <w:rsid w:val="00F44E70"/>
    <w:rsid w:val="00F45C54"/>
    <w:rsid w:val="00F464D6"/>
    <w:rsid w:val="00F4774B"/>
    <w:rsid w:val="00F52F83"/>
    <w:rsid w:val="00F53D5A"/>
    <w:rsid w:val="00F55E90"/>
    <w:rsid w:val="00F57495"/>
    <w:rsid w:val="00F577BC"/>
    <w:rsid w:val="00F57C5B"/>
    <w:rsid w:val="00F57F1D"/>
    <w:rsid w:val="00F60A91"/>
    <w:rsid w:val="00F61D3C"/>
    <w:rsid w:val="00F61ED9"/>
    <w:rsid w:val="00F61F7D"/>
    <w:rsid w:val="00F63C2A"/>
    <w:rsid w:val="00F64D54"/>
    <w:rsid w:val="00F6744D"/>
    <w:rsid w:val="00F67554"/>
    <w:rsid w:val="00F70417"/>
    <w:rsid w:val="00F7107B"/>
    <w:rsid w:val="00F72384"/>
    <w:rsid w:val="00F73536"/>
    <w:rsid w:val="00F74106"/>
    <w:rsid w:val="00F762CC"/>
    <w:rsid w:val="00F76D65"/>
    <w:rsid w:val="00F77116"/>
    <w:rsid w:val="00F80FEC"/>
    <w:rsid w:val="00F81902"/>
    <w:rsid w:val="00F82AB1"/>
    <w:rsid w:val="00F830A0"/>
    <w:rsid w:val="00F92C55"/>
    <w:rsid w:val="00F93470"/>
    <w:rsid w:val="00F93701"/>
    <w:rsid w:val="00F949C5"/>
    <w:rsid w:val="00F9624E"/>
    <w:rsid w:val="00F96670"/>
    <w:rsid w:val="00F96E0F"/>
    <w:rsid w:val="00F97606"/>
    <w:rsid w:val="00FA10F3"/>
    <w:rsid w:val="00FA111D"/>
    <w:rsid w:val="00FA152B"/>
    <w:rsid w:val="00FA2CC4"/>
    <w:rsid w:val="00FA6A84"/>
    <w:rsid w:val="00FA6A98"/>
    <w:rsid w:val="00FA6F41"/>
    <w:rsid w:val="00FA7D4E"/>
    <w:rsid w:val="00FB1B86"/>
    <w:rsid w:val="00FB2C06"/>
    <w:rsid w:val="00FB2F42"/>
    <w:rsid w:val="00FB43EC"/>
    <w:rsid w:val="00FB5225"/>
    <w:rsid w:val="00FB560A"/>
    <w:rsid w:val="00FB6C52"/>
    <w:rsid w:val="00FB7ECD"/>
    <w:rsid w:val="00FC12E3"/>
    <w:rsid w:val="00FC1508"/>
    <w:rsid w:val="00FC28AE"/>
    <w:rsid w:val="00FC3D9B"/>
    <w:rsid w:val="00FC68F8"/>
    <w:rsid w:val="00FD0CB4"/>
    <w:rsid w:val="00FD17F9"/>
    <w:rsid w:val="00FD31E6"/>
    <w:rsid w:val="00FD62A0"/>
    <w:rsid w:val="00FD6391"/>
    <w:rsid w:val="00FD6DAF"/>
    <w:rsid w:val="00FE02B1"/>
    <w:rsid w:val="00FE0777"/>
    <w:rsid w:val="00FE0843"/>
    <w:rsid w:val="00FE0A00"/>
    <w:rsid w:val="00FE2B74"/>
    <w:rsid w:val="00FE2BF5"/>
    <w:rsid w:val="00FE2CB8"/>
    <w:rsid w:val="00FE3B9D"/>
    <w:rsid w:val="00FE534B"/>
    <w:rsid w:val="00FE549C"/>
    <w:rsid w:val="00FE563C"/>
    <w:rsid w:val="00FE5B2E"/>
    <w:rsid w:val="00FE5E93"/>
    <w:rsid w:val="00FE5FE6"/>
    <w:rsid w:val="00FE7ECC"/>
    <w:rsid w:val="00FF0690"/>
    <w:rsid w:val="00FF2903"/>
    <w:rsid w:val="00FF399A"/>
    <w:rsid w:val="00FF4105"/>
    <w:rsid w:val="00FF4EE8"/>
    <w:rsid w:val="00FF5437"/>
    <w:rsid w:val="00FF69C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2CB8"/>
    <w:pPr>
      <w:overflowPunct w:val="0"/>
      <w:autoSpaceDE w:val="0"/>
      <w:autoSpaceDN w:val="0"/>
      <w:adjustRightInd w:val="0"/>
      <w:textAlignment w:val="baseline"/>
    </w:pPr>
  </w:style>
  <w:style w:type="paragraph" w:styleId="Heading1">
    <w:name w:val="heading 1"/>
    <w:basedOn w:val="Normal"/>
    <w:next w:val="Normal"/>
    <w:link w:val="Heading1Char"/>
    <w:uiPriority w:val="9"/>
    <w:qFormat/>
    <w:rsid w:val="00FE2CB8"/>
    <w:pPr>
      <w:keepNext/>
      <w:overflowPunct/>
      <w:adjustRightInd/>
      <w:textAlignment w:val="auto"/>
      <w:outlineLvl w:val="0"/>
    </w:pPr>
    <w:rPr>
      <w:b/>
      <w:bCs/>
      <w:sz w:val="32"/>
      <w:szCs w:val="24"/>
    </w:rPr>
  </w:style>
  <w:style w:type="paragraph" w:styleId="Heading2">
    <w:name w:val="heading 2"/>
    <w:basedOn w:val="Normal"/>
    <w:next w:val="Normal"/>
    <w:link w:val="Heading2Char"/>
    <w:uiPriority w:val="9"/>
    <w:qFormat/>
    <w:rsid w:val="00FE2CB8"/>
    <w:pPr>
      <w:keepNext/>
      <w:overflowPunct/>
      <w:autoSpaceDE/>
      <w:autoSpaceDN/>
      <w:adjustRightInd/>
      <w:ind w:left="162"/>
      <w:jc w:val="center"/>
      <w:textAlignment w:val="auto"/>
      <w:outlineLvl w:val="1"/>
    </w:pPr>
    <w:rPr>
      <w:rFonts w:cs="Traditional Arabic"/>
      <w:b/>
      <w:bCs/>
      <w:noProof/>
      <w:sz w:val="18"/>
      <w:szCs w:val="21"/>
    </w:rPr>
  </w:style>
  <w:style w:type="paragraph" w:styleId="Heading3">
    <w:name w:val="heading 3"/>
    <w:basedOn w:val="Normal"/>
    <w:next w:val="Normal"/>
    <w:link w:val="Heading3Char"/>
    <w:uiPriority w:val="9"/>
    <w:qFormat/>
    <w:rsid w:val="00FE2CB8"/>
    <w:pPr>
      <w:keepNext/>
      <w:outlineLvl w:val="2"/>
    </w:pPr>
    <w:rPr>
      <w:rFonts w:cs="Traditional Arabic"/>
      <w:b/>
      <w:bCs/>
      <w:sz w:val="24"/>
      <w:szCs w:val="24"/>
    </w:rPr>
  </w:style>
  <w:style w:type="paragraph" w:styleId="Heading4">
    <w:name w:val="heading 4"/>
    <w:basedOn w:val="Normal"/>
    <w:next w:val="Normal"/>
    <w:link w:val="Heading4Char"/>
    <w:uiPriority w:val="9"/>
    <w:qFormat/>
    <w:rsid w:val="00FE2CB8"/>
    <w:pPr>
      <w:keepNext/>
      <w:outlineLvl w:val="3"/>
    </w:pPr>
    <w:rPr>
      <w:b/>
      <w:bCs/>
    </w:rPr>
  </w:style>
  <w:style w:type="paragraph" w:styleId="Heading5">
    <w:name w:val="heading 5"/>
    <w:basedOn w:val="Normal"/>
    <w:next w:val="Normal"/>
    <w:link w:val="Heading5Char"/>
    <w:uiPriority w:val="9"/>
    <w:qFormat/>
    <w:rsid w:val="00FE2CB8"/>
    <w:pPr>
      <w:keepNext/>
      <w:overflowPunct/>
      <w:autoSpaceDE/>
      <w:autoSpaceDN/>
      <w:adjustRightInd/>
      <w:jc w:val="center"/>
      <w:textAlignment w:val="auto"/>
      <w:outlineLvl w:val="4"/>
    </w:pPr>
    <w:rPr>
      <w:rFonts w:cs="Traditional Arabic"/>
      <w:b/>
      <w:bCs/>
      <w:noProof/>
      <w:sz w:val="28"/>
      <w:szCs w:val="33"/>
    </w:rPr>
  </w:style>
  <w:style w:type="paragraph" w:styleId="Heading6">
    <w:name w:val="heading 6"/>
    <w:basedOn w:val="Normal"/>
    <w:next w:val="Normal"/>
    <w:link w:val="Heading6Char"/>
    <w:uiPriority w:val="9"/>
    <w:qFormat/>
    <w:rsid w:val="00FE2CB8"/>
    <w:pPr>
      <w:keepNext/>
      <w:overflowPunct/>
      <w:autoSpaceDE/>
      <w:autoSpaceDN/>
      <w:bidi/>
      <w:adjustRightInd/>
      <w:ind w:right="176"/>
      <w:jc w:val="right"/>
      <w:textAlignment w:val="auto"/>
      <w:outlineLvl w:val="5"/>
    </w:pPr>
    <w:rPr>
      <w:rFonts w:cs="Traditional Arabic"/>
      <w:b/>
      <w:bCs/>
      <w:noProof/>
      <w:sz w:val="18"/>
      <w:szCs w:val="21"/>
    </w:rPr>
  </w:style>
  <w:style w:type="paragraph" w:styleId="Heading7">
    <w:name w:val="heading 7"/>
    <w:basedOn w:val="Normal"/>
    <w:next w:val="Normal"/>
    <w:link w:val="Heading7Char"/>
    <w:uiPriority w:val="9"/>
    <w:qFormat/>
    <w:rsid w:val="00FE2CB8"/>
    <w:pPr>
      <w:keepNext/>
      <w:overflowPunct/>
      <w:autoSpaceDE/>
      <w:autoSpaceDN/>
      <w:adjustRightInd/>
      <w:textAlignment w:val="auto"/>
      <w:outlineLvl w:val="6"/>
    </w:pPr>
    <w:rPr>
      <w:rFonts w:cs="Traditional Arabic"/>
      <w:b/>
      <w:bCs/>
      <w:noProof/>
      <w:sz w:val="18"/>
      <w:szCs w:val="21"/>
    </w:rPr>
  </w:style>
  <w:style w:type="paragraph" w:styleId="Heading9">
    <w:name w:val="heading 9"/>
    <w:basedOn w:val="Normal"/>
    <w:next w:val="Normal"/>
    <w:link w:val="Heading9Char"/>
    <w:uiPriority w:val="9"/>
    <w:semiHidden/>
    <w:unhideWhenUsed/>
    <w:qFormat/>
    <w:rsid w:val="001F2744"/>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B4532E"/>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locked/>
    <w:rsid w:val="00B4532E"/>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locked/>
    <w:rsid w:val="00B4532E"/>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locked/>
    <w:rsid w:val="00B4532E"/>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locked/>
    <w:rsid w:val="00B4532E"/>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locked/>
    <w:rsid w:val="00B4532E"/>
    <w:rPr>
      <w:rFonts w:asciiTheme="minorHAnsi" w:eastAsiaTheme="minorEastAsia" w:hAnsiTheme="minorHAnsi" w:cstheme="minorBidi"/>
      <w:b/>
      <w:bCs/>
      <w:sz w:val="22"/>
      <w:szCs w:val="22"/>
    </w:rPr>
  </w:style>
  <w:style w:type="character" w:customStyle="1" w:styleId="Heading7Char">
    <w:name w:val="Heading 7 Char"/>
    <w:basedOn w:val="DefaultParagraphFont"/>
    <w:link w:val="Heading7"/>
    <w:uiPriority w:val="9"/>
    <w:semiHidden/>
    <w:locked/>
    <w:rsid w:val="00B4532E"/>
    <w:rPr>
      <w:rFonts w:asciiTheme="minorHAnsi" w:eastAsiaTheme="minorEastAsia" w:hAnsiTheme="minorHAnsi" w:cstheme="minorBidi"/>
      <w:sz w:val="24"/>
      <w:szCs w:val="24"/>
    </w:rPr>
  </w:style>
  <w:style w:type="character" w:customStyle="1" w:styleId="Heading9Char">
    <w:name w:val="Heading 9 Char"/>
    <w:basedOn w:val="DefaultParagraphFont"/>
    <w:link w:val="Heading9"/>
    <w:uiPriority w:val="9"/>
    <w:semiHidden/>
    <w:locked/>
    <w:rsid w:val="001F2744"/>
    <w:rPr>
      <w:rFonts w:ascii="Cambria" w:hAnsi="Cambria" w:cs="Times New Roman"/>
      <w:sz w:val="22"/>
      <w:szCs w:val="22"/>
    </w:rPr>
  </w:style>
  <w:style w:type="paragraph" w:styleId="Header">
    <w:name w:val="header"/>
    <w:basedOn w:val="Normal"/>
    <w:link w:val="HeaderChar"/>
    <w:uiPriority w:val="99"/>
    <w:rsid w:val="00FE2CB8"/>
    <w:pPr>
      <w:tabs>
        <w:tab w:val="center" w:pos="4153"/>
        <w:tab w:val="right" w:pos="8306"/>
      </w:tabs>
    </w:pPr>
  </w:style>
  <w:style w:type="character" w:customStyle="1" w:styleId="HeaderChar">
    <w:name w:val="Header Char"/>
    <w:basedOn w:val="DefaultParagraphFont"/>
    <w:link w:val="Header"/>
    <w:uiPriority w:val="99"/>
    <w:locked/>
    <w:rsid w:val="00B5698C"/>
    <w:rPr>
      <w:rFonts w:cs="Times New Roman"/>
    </w:rPr>
  </w:style>
  <w:style w:type="paragraph" w:styleId="Footer">
    <w:name w:val="footer"/>
    <w:basedOn w:val="Normal"/>
    <w:link w:val="FooterChar"/>
    <w:uiPriority w:val="99"/>
    <w:rsid w:val="00FE2CB8"/>
    <w:pPr>
      <w:tabs>
        <w:tab w:val="center" w:pos="4153"/>
        <w:tab w:val="right" w:pos="8306"/>
      </w:tabs>
    </w:pPr>
  </w:style>
  <w:style w:type="character" w:customStyle="1" w:styleId="FooterChar">
    <w:name w:val="Footer Char"/>
    <w:basedOn w:val="DefaultParagraphFont"/>
    <w:link w:val="Footer"/>
    <w:uiPriority w:val="99"/>
    <w:locked/>
    <w:rsid w:val="00940590"/>
    <w:rPr>
      <w:rFonts w:cs="Times New Roman"/>
    </w:rPr>
  </w:style>
  <w:style w:type="paragraph" w:styleId="Title">
    <w:name w:val="Title"/>
    <w:basedOn w:val="Normal"/>
    <w:link w:val="TitleChar"/>
    <w:uiPriority w:val="10"/>
    <w:qFormat/>
    <w:rsid w:val="00FE2CB8"/>
    <w:pPr>
      <w:overflowPunct/>
      <w:autoSpaceDE/>
      <w:autoSpaceDN/>
      <w:bidi/>
      <w:adjustRightInd/>
      <w:jc w:val="center"/>
      <w:textAlignment w:val="auto"/>
    </w:pPr>
    <w:rPr>
      <w:rFonts w:cs="Simplified Arabic"/>
      <w:b/>
      <w:bCs/>
      <w:noProof/>
      <w:sz w:val="24"/>
      <w:szCs w:val="28"/>
    </w:rPr>
  </w:style>
  <w:style w:type="character" w:customStyle="1" w:styleId="TitleChar">
    <w:name w:val="Title Char"/>
    <w:basedOn w:val="DefaultParagraphFont"/>
    <w:link w:val="Title"/>
    <w:uiPriority w:val="10"/>
    <w:locked/>
    <w:rsid w:val="008625AF"/>
    <w:rPr>
      <w:rFonts w:cs="Simplified Arabic"/>
      <w:b/>
      <w:bCs/>
      <w:noProof/>
      <w:sz w:val="28"/>
      <w:szCs w:val="28"/>
    </w:rPr>
  </w:style>
  <w:style w:type="paragraph" w:customStyle="1" w:styleId="H1">
    <w:name w:val="H1"/>
    <w:basedOn w:val="Normal"/>
    <w:next w:val="Normal"/>
    <w:rsid w:val="00FE2CB8"/>
    <w:pPr>
      <w:keepNext/>
      <w:overflowPunct/>
      <w:adjustRightInd/>
      <w:spacing w:before="100" w:after="100"/>
      <w:textAlignment w:val="auto"/>
      <w:outlineLvl w:val="1"/>
    </w:pPr>
    <w:rPr>
      <w:b/>
      <w:bCs/>
      <w:kern w:val="36"/>
      <w:sz w:val="48"/>
      <w:szCs w:val="48"/>
    </w:rPr>
  </w:style>
  <w:style w:type="paragraph" w:styleId="Subtitle">
    <w:name w:val="Subtitle"/>
    <w:basedOn w:val="Normal"/>
    <w:link w:val="SubtitleChar"/>
    <w:uiPriority w:val="11"/>
    <w:qFormat/>
    <w:rsid w:val="00FE2CB8"/>
    <w:pPr>
      <w:ind w:left="135"/>
      <w:jc w:val="center"/>
    </w:pPr>
    <w:rPr>
      <w:rFonts w:cs="Traditional Arabic"/>
      <w:b/>
      <w:bCs/>
      <w:sz w:val="28"/>
      <w:szCs w:val="28"/>
    </w:rPr>
  </w:style>
  <w:style w:type="character" w:customStyle="1" w:styleId="SubtitleChar">
    <w:name w:val="Subtitle Char"/>
    <w:basedOn w:val="DefaultParagraphFont"/>
    <w:link w:val="Subtitle"/>
    <w:uiPriority w:val="11"/>
    <w:locked/>
    <w:rsid w:val="00B4532E"/>
    <w:rPr>
      <w:rFonts w:asciiTheme="majorHAnsi" w:eastAsiaTheme="majorEastAsia" w:hAnsiTheme="majorHAnsi" w:cstheme="majorBidi"/>
      <w:sz w:val="24"/>
      <w:szCs w:val="24"/>
    </w:rPr>
  </w:style>
  <w:style w:type="paragraph" w:styleId="BodyText">
    <w:name w:val="Body Text"/>
    <w:basedOn w:val="Normal"/>
    <w:link w:val="BodyTextChar"/>
    <w:uiPriority w:val="99"/>
    <w:semiHidden/>
    <w:rsid w:val="00FE2CB8"/>
    <w:pPr>
      <w:jc w:val="both"/>
    </w:pPr>
    <w:rPr>
      <w:rFonts w:cs="Traditional Arabic"/>
    </w:rPr>
  </w:style>
  <w:style w:type="character" w:customStyle="1" w:styleId="BodyTextChar">
    <w:name w:val="Body Text Char"/>
    <w:basedOn w:val="DefaultParagraphFont"/>
    <w:link w:val="BodyText"/>
    <w:uiPriority w:val="99"/>
    <w:semiHidden/>
    <w:locked/>
    <w:rsid w:val="00DC4287"/>
    <w:rPr>
      <w:rFonts w:cs="Traditional Arabic"/>
    </w:rPr>
  </w:style>
  <w:style w:type="character" w:styleId="PageNumber">
    <w:name w:val="page number"/>
    <w:basedOn w:val="DefaultParagraphFont"/>
    <w:uiPriority w:val="99"/>
    <w:semiHidden/>
    <w:rsid w:val="00FE2CB8"/>
    <w:rPr>
      <w:rFonts w:cs="Times New Roman"/>
    </w:rPr>
  </w:style>
  <w:style w:type="paragraph" w:styleId="BodyText2">
    <w:name w:val="Body Text 2"/>
    <w:basedOn w:val="Normal"/>
    <w:link w:val="BodyText2Char"/>
    <w:uiPriority w:val="99"/>
    <w:semiHidden/>
    <w:rsid w:val="00FE2CB8"/>
    <w:pPr>
      <w:jc w:val="lowKashida"/>
    </w:pPr>
  </w:style>
  <w:style w:type="character" w:customStyle="1" w:styleId="BodyText2Char">
    <w:name w:val="Body Text 2 Char"/>
    <w:basedOn w:val="DefaultParagraphFont"/>
    <w:link w:val="BodyText2"/>
    <w:uiPriority w:val="99"/>
    <w:semiHidden/>
    <w:locked/>
    <w:rsid w:val="008625AF"/>
    <w:rPr>
      <w:rFonts w:cs="Times New Roman"/>
    </w:rPr>
  </w:style>
  <w:style w:type="paragraph" w:styleId="BodyText3">
    <w:name w:val="Body Text 3"/>
    <w:basedOn w:val="Normal"/>
    <w:link w:val="BodyText3Char"/>
    <w:uiPriority w:val="99"/>
    <w:semiHidden/>
    <w:rsid w:val="00FE2CB8"/>
    <w:pPr>
      <w:jc w:val="both"/>
    </w:pPr>
    <w:rPr>
      <w:rFonts w:cs="Traditional Arabic"/>
      <w:b/>
      <w:bCs/>
    </w:rPr>
  </w:style>
  <w:style w:type="character" w:customStyle="1" w:styleId="BodyText3Char">
    <w:name w:val="Body Text 3 Char"/>
    <w:basedOn w:val="DefaultParagraphFont"/>
    <w:link w:val="BodyText3"/>
    <w:uiPriority w:val="99"/>
    <w:semiHidden/>
    <w:locked/>
    <w:rsid w:val="000D23AB"/>
    <w:rPr>
      <w:rFonts w:cs="Traditional Arabic"/>
      <w:b/>
      <w:bCs/>
    </w:rPr>
  </w:style>
  <w:style w:type="paragraph" w:styleId="BodyTextIndent">
    <w:name w:val="Body Text Indent"/>
    <w:basedOn w:val="Normal"/>
    <w:link w:val="BodyTextIndentChar"/>
    <w:uiPriority w:val="99"/>
    <w:semiHidden/>
    <w:rsid w:val="00FE2CB8"/>
    <w:pPr>
      <w:overflowPunct/>
      <w:autoSpaceDE/>
      <w:autoSpaceDN/>
      <w:adjustRightInd/>
      <w:ind w:left="714" w:hanging="357"/>
      <w:jc w:val="lowKashida"/>
      <w:textAlignment w:val="auto"/>
    </w:pPr>
    <w:rPr>
      <w:sz w:val="24"/>
      <w:szCs w:val="24"/>
    </w:rPr>
  </w:style>
  <w:style w:type="character" w:customStyle="1" w:styleId="BodyTextIndentChar">
    <w:name w:val="Body Text Indent Char"/>
    <w:basedOn w:val="DefaultParagraphFont"/>
    <w:link w:val="BodyTextIndent"/>
    <w:uiPriority w:val="99"/>
    <w:semiHidden/>
    <w:locked/>
    <w:rsid w:val="00B4532E"/>
    <w:rPr>
      <w:rFonts w:cs="Times New Roman"/>
    </w:rPr>
  </w:style>
  <w:style w:type="paragraph" w:styleId="BodyTextIndent2">
    <w:name w:val="Body Text Indent 2"/>
    <w:basedOn w:val="Normal"/>
    <w:link w:val="BodyTextIndent2Char"/>
    <w:uiPriority w:val="99"/>
    <w:semiHidden/>
    <w:rsid w:val="00FE2CB8"/>
    <w:pPr>
      <w:ind w:left="44"/>
    </w:pPr>
  </w:style>
  <w:style w:type="character" w:customStyle="1" w:styleId="BodyTextIndent2Char">
    <w:name w:val="Body Text Indent 2 Char"/>
    <w:basedOn w:val="DefaultParagraphFont"/>
    <w:link w:val="BodyTextIndent2"/>
    <w:uiPriority w:val="99"/>
    <w:semiHidden/>
    <w:locked/>
    <w:rsid w:val="00B4532E"/>
    <w:rPr>
      <w:rFonts w:cs="Times New Roman"/>
    </w:rPr>
  </w:style>
  <w:style w:type="paragraph" w:styleId="BodyTextIndent3">
    <w:name w:val="Body Text Indent 3"/>
    <w:basedOn w:val="Normal"/>
    <w:link w:val="BodyTextIndent3Char"/>
    <w:uiPriority w:val="99"/>
    <w:semiHidden/>
    <w:rsid w:val="00FE2CB8"/>
    <w:pPr>
      <w:ind w:left="44"/>
      <w:jc w:val="lowKashida"/>
    </w:pPr>
    <w:rPr>
      <w:color w:val="000000"/>
    </w:rPr>
  </w:style>
  <w:style w:type="character" w:customStyle="1" w:styleId="BodyTextIndent3Char">
    <w:name w:val="Body Text Indent 3 Char"/>
    <w:basedOn w:val="DefaultParagraphFont"/>
    <w:link w:val="BodyTextIndent3"/>
    <w:uiPriority w:val="99"/>
    <w:semiHidden/>
    <w:locked/>
    <w:rsid w:val="00B4532E"/>
    <w:rPr>
      <w:rFonts w:cs="Times New Roman"/>
      <w:sz w:val="16"/>
      <w:szCs w:val="16"/>
    </w:rPr>
  </w:style>
  <w:style w:type="paragraph" w:styleId="BlockText">
    <w:name w:val="Block Text"/>
    <w:basedOn w:val="Normal"/>
    <w:uiPriority w:val="99"/>
    <w:semiHidden/>
    <w:rsid w:val="001F2744"/>
    <w:pPr>
      <w:spacing w:after="120"/>
      <w:ind w:left="1440" w:right="1440"/>
    </w:pPr>
  </w:style>
  <w:style w:type="paragraph" w:styleId="CommentText">
    <w:name w:val="annotation text"/>
    <w:basedOn w:val="Normal"/>
    <w:link w:val="CommentTextChar"/>
    <w:uiPriority w:val="99"/>
    <w:semiHidden/>
    <w:rsid w:val="001F2744"/>
  </w:style>
  <w:style w:type="character" w:customStyle="1" w:styleId="CommentTextChar">
    <w:name w:val="Comment Text Char"/>
    <w:basedOn w:val="DefaultParagraphFont"/>
    <w:link w:val="CommentText"/>
    <w:uiPriority w:val="99"/>
    <w:semiHidden/>
    <w:locked/>
    <w:rsid w:val="001F2744"/>
    <w:rPr>
      <w:rFonts w:cs="Times New Roman"/>
    </w:rPr>
  </w:style>
  <w:style w:type="paragraph" w:styleId="Index1">
    <w:name w:val="index 1"/>
    <w:basedOn w:val="Normal"/>
    <w:next w:val="Normal"/>
    <w:autoRedefine/>
    <w:uiPriority w:val="99"/>
    <w:semiHidden/>
    <w:unhideWhenUsed/>
    <w:rsid w:val="001F2744"/>
    <w:pPr>
      <w:ind w:left="200" w:hanging="200"/>
    </w:pPr>
  </w:style>
  <w:style w:type="paragraph" w:styleId="IndexHeading">
    <w:name w:val="index heading"/>
    <w:basedOn w:val="Normal"/>
    <w:next w:val="Index1"/>
    <w:uiPriority w:val="99"/>
    <w:semiHidden/>
    <w:rsid w:val="001F2744"/>
    <w:rPr>
      <w:rFonts w:ascii="Arial" w:hAnsi="Arial" w:cs="Arial"/>
      <w:b/>
      <w:bCs/>
    </w:rPr>
  </w:style>
  <w:style w:type="paragraph" w:styleId="ListParagraph">
    <w:name w:val="List Paragraph"/>
    <w:basedOn w:val="Normal"/>
    <w:uiPriority w:val="34"/>
    <w:qFormat/>
    <w:rsid w:val="001C78D5"/>
    <w:pPr>
      <w:overflowPunct/>
      <w:autoSpaceDE/>
      <w:autoSpaceDN/>
      <w:bidi/>
      <w:adjustRightInd/>
      <w:ind w:left="720"/>
      <w:textAlignment w:val="auto"/>
    </w:pPr>
    <w:rPr>
      <w:rFonts w:cs="Simplified Arabic"/>
      <w:noProof/>
      <w:sz w:val="24"/>
    </w:rPr>
  </w:style>
  <w:style w:type="paragraph" w:styleId="BalloonText">
    <w:name w:val="Balloon Text"/>
    <w:basedOn w:val="Normal"/>
    <w:link w:val="BalloonTextChar"/>
    <w:uiPriority w:val="99"/>
    <w:semiHidden/>
    <w:unhideWhenUsed/>
    <w:rsid w:val="003E58F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E58F6"/>
    <w:rPr>
      <w:rFonts w:ascii="Tahoma" w:hAnsi="Tahoma" w:cs="Tahoma"/>
      <w:sz w:val="16"/>
      <w:szCs w:val="16"/>
      <w:lang w:val="en-US" w:eastAsia="en-US"/>
    </w:rPr>
  </w:style>
  <w:style w:type="paragraph" w:styleId="Revision">
    <w:name w:val="Revision"/>
    <w:hidden/>
    <w:uiPriority w:val="99"/>
    <w:semiHidden/>
    <w:rsid w:val="00F93470"/>
  </w:style>
  <w:style w:type="character" w:customStyle="1" w:styleId="hps">
    <w:name w:val="hps"/>
    <w:basedOn w:val="DefaultParagraphFont"/>
    <w:rsid w:val="004F26B2"/>
    <w:rPr>
      <w:rFonts w:cs="Times New Roman"/>
    </w:rPr>
  </w:style>
  <w:style w:type="character" w:customStyle="1" w:styleId="shorttext">
    <w:name w:val="short_text"/>
    <w:basedOn w:val="DefaultParagraphFont"/>
    <w:rsid w:val="00BD329D"/>
    <w:rPr>
      <w:rFonts w:cs="Times New Roman"/>
    </w:rPr>
  </w:style>
  <w:style w:type="character" w:customStyle="1" w:styleId="atn">
    <w:name w:val="atn"/>
    <w:basedOn w:val="DefaultParagraphFont"/>
    <w:rsid w:val="006A3BB8"/>
    <w:rPr>
      <w:rFonts w:cs="Times New Roman"/>
    </w:rPr>
  </w:style>
  <w:style w:type="paragraph" w:customStyle="1" w:styleId="xl23">
    <w:name w:val="xl23"/>
    <w:basedOn w:val="Normal"/>
    <w:rsid w:val="00981761"/>
    <w:pPr>
      <w:overflowPunct/>
      <w:autoSpaceDE/>
      <w:autoSpaceDN/>
      <w:adjustRightInd/>
      <w:spacing w:before="100" w:beforeAutospacing="1" w:after="100" w:afterAutospacing="1"/>
      <w:jc w:val="both"/>
      <w:textAlignment w:val="top"/>
    </w:pPr>
    <w:rPr>
      <w:rFonts w:eastAsia="Arial Unicode MS" w:cs="Arial Unicode MS"/>
      <w:sz w:val="24"/>
      <w:szCs w:val="24"/>
      <w:lang w:eastAsia="ar-SA"/>
    </w:rPr>
  </w:style>
  <w:style w:type="paragraph" w:styleId="FootnoteText">
    <w:name w:val="footnote text"/>
    <w:basedOn w:val="Normal"/>
    <w:link w:val="FootnoteTextChar"/>
    <w:uiPriority w:val="99"/>
    <w:semiHidden/>
    <w:rsid w:val="00750558"/>
    <w:pPr>
      <w:overflowPunct/>
      <w:autoSpaceDE/>
      <w:autoSpaceDN/>
      <w:adjustRightInd/>
      <w:textAlignment w:val="auto"/>
    </w:pPr>
    <w:rPr>
      <w:rFonts w:cs="Traditional Arabic"/>
      <w:noProof/>
      <w:szCs w:val="24"/>
      <w:lang w:eastAsia="ar-SA"/>
    </w:rPr>
  </w:style>
  <w:style w:type="character" w:customStyle="1" w:styleId="FootnoteTextChar">
    <w:name w:val="Footnote Text Char"/>
    <w:basedOn w:val="DefaultParagraphFont"/>
    <w:link w:val="FootnoteText"/>
    <w:uiPriority w:val="99"/>
    <w:semiHidden/>
    <w:locked/>
    <w:rsid w:val="00750558"/>
    <w:rPr>
      <w:rFonts w:cs="Traditional Arabic"/>
      <w:noProof/>
      <w:sz w:val="24"/>
      <w:szCs w:val="24"/>
      <w:lang w:eastAsia="ar-SA"/>
    </w:rPr>
  </w:style>
  <w:style w:type="character" w:styleId="FootnoteReference">
    <w:name w:val="footnote reference"/>
    <w:basedOn w:val="DefaultParagraphFont"/>
    <w:uiPriority w:val="99"/>
    <w:semiHidden/>
    <w:rsid w:val="00750558"/>
    <w:rPr>
      <w:rFonts w:cs="Times New Roman"/>
      <w:vertAlign w:val="superscript"/>
    </w:rPr>
  </w:style>
  <w:style w:type="table" w:styleId="TableGrid">
    <w:name w:val="Table Grid"/>
    <w:basedOn w:val="TableNormal"/>
    <w:uiPriority w:val="59"/>
    <w:rsid w:val="00195ED8"/>
    <w:rPr>
      <w:rFonts w:cs="Traditional Arab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B93D80"/>
    <w:rPr>
      <w:sz w:val="16"/>
      <w:szCs w:val="16"/>
    </w:rPr>
  </w:style>
  <w:style w:type="paragraph" w:styleId="CommentSubject">
    <w:name w:val="annotation subject"/>
    <w:basedOn w:val="CommentText"/>
    <w:next w:val="CommentText"/>
    <w:link w:val="CommentSubjectChar"/>
    <w:uiPriority w:val="99"/>
    <w:semiHidden/>
    <w:unhideWhenUsed/>
    <w:rsid w:val="00B93D80"/>
    <w:rPr>
      <w:b/>
      <w:bCs/>
    </w:rPr>
  </w:style>
  <w:style w:type="character" w:customStyle="1" w:styleId="CommentSubjectChar">
    <w:name w:val="Comment Subject Char"/>
    <w:basedOn w:val="CommentTextChar"/>
    <w:link w:val="CommentSubject"/>
    <w:uiPriority w:val="99"/>
    <w:semiHidden/>
    <w:rsid w:val="00B93D80"/>
    <w:rPr>
      <w:rFonts w:cs="Times New Roman"/>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54614592">
      <w:bodyDiv w:val="1"/>
      <w:marLeft w:val="0"/>
      <w:marRight w:val="0"/>
      <w:marTop w:val="0"/>
      <w:marBottom w:val="0"/>
      <w:divBdr>
        <w:top w:val="none" w:sz="0" w:space="0" w:color="auto"/>
        <w:left w:val="none" w:sz="0" w:space="0" w:color="auto"/>
        <w:bottom w:val="none" w:sz="0" w:space="0" w:color="auto"/>
        <w:right w:val="none" w:sz="0" w:space="0" w:color="auto"/>
      </w:divBdr>
    </w:div>
    <w:div w:id="184362567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image" Target="media/image6.jpeg"/><Relationship Id="rId26"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5.xml"/><Relationship Id="rId25"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media/image8.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8.xml"/><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7.xml"/><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7.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3.xml"/><Relationship Id="rId22" Type="http://schemas.openxmlformats.org/officeDocument/2006/relationships/chart" Target="charts/chart6.xml"/><Relationship Id="rId27" Type="http://schemas.openxmlformats.org/officeDocument/2006/relationships/header" Target="header1.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Office_Excel_Worksheet6.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0460124108418874"/>
          <c:y val="5.1639626442044013E-2"/>
          <c:w val="0.88054997398829882"/>
          <c:h val="0.6596866467866529"/>
        </c:manualLayout>
      </c:layout>
      <c:barChart>
        <c:barDir val="col"/>
        <c:grouping val="clustered"/>
        <c:ser>
          <c:idx val="0"/>
          <c:order val="0"/>
          <c:tx>
            <c:strRef>
              <c:f>ورقة1!$A$2</c:f>
              <c:strCache>
                <c:ptCount val="1"/>
                <c:pt idx="0">
                  <c:v>Male</c:v>
                </c:pt>
              </c:strCache>
            </c:strRef>
          </c:tx>
          <c:dLbls>
            <c:dLbl>
              <c:idx val="0"/>
              <c:layout>
                <c:manualLayout>
                  <c:x val="-6.2769349084321902E-3"/>
                  <c:y val="1.8704637571872941E-2"/>
                </c:manualLayout>
              </c:layout>
              <c:dLblPos val="outEnd"/>
              <c:showVal val="1"/>
            </c:dLbl>
            <c:dLbl>
              <c:idx val="1"/>
              <c:layout>
                <c:manualLayout>
                  <c:x val="0"/>
                  <c:y val="5.6113912715618913E-2"/>
                </c:manualLayout>
              </c:layout>
              <c:dLblPos val="outEnd"/>
              <c:showVal val="1"/>
            </c:dLbl>
            <c:dLbl>
              <c:idx val="2"/>
              <c:layout>
                <c:manualLayout>
                  <c:x val="-3.1384674542160652E-3"/>
                  <c:y val="4.676159392968289E-2"/>
                </c:manualLayout>
              </c:layout>
              <c:dLblPos val="outEnd"/>
              <c:showVal val="1"/>
            </c:dLbl>
            <c:dLbl>
              <c:idx val="3"/>
              <c:layout>
                <c:manualLayout>
                  <c:x val="-3.1384674542160652E-3"/>
                  <c:y val="6.5466231501556241E-2"/>
                </c:manualLayout>
              </c:layout>
              <c:dLblPos val="outEnd"/>
              <c:showVal val="1"/>
            </c:dLbl>
            <c:dLbl>
              <c:idx val="4"/>
              <c:layout>
                <c:manualLayout>
                  <c:x val="-3.1384674542160652E-3"/>
                  <c:y val="6.5466231501556241E-2"/>
                </c:manualLayout>
              </c:layout>
              <c:dLblPos val="outEnd"/>
              <c:showVal val="1"/>
            </c:dLbl>
            <c:dLbl>
              <c:idx val="5"/>
              <c:layout>
                <c:manualLayout>
                  <c:x val="-3.1322893686762895E-3"/>
                  <c:y val="4.676159392968289E-2"/>
                </c:manualLayout>
              </c:layout>
              <c:dLblPos val="outEnd"/>
              <c:showVal val="1"/>
            </c:dLbl>
            <c:dLbl>
              <c:idx val="6"/>
              <c:layout>
                <c:manualLayout>
                  <c:x val="-6.2707568228924475E-3"/>
                  <c:y val="4.6760857526628702E-2"/>
                </c:manualLayout>
              </c:layout>
              <c:dLblPos val="outEnd"/>
              <c:showVal val="1"/>
            </c:dLbl>
            <c:txPr>
              <a:bodyPr/>
              <a:lstStyle/>
              <a:p>
                <a:pPr>
                  <a:defRPr sz="800">
                    <a:latin typeface="Arial" pitchFamily="34" charset="0"/>
                    <a:cs typeface="Arial" pitchFamily="34" charset="0"/>
                  </a:defRPr>
                </a:pPr>
                <a:endParaRPr lang="ar-SA"/>
              </a:p>
            </c:txPr>
            <c:dLblPos val="outEnd"/>
            <c:showVal val="1"/>
          </c:dLbls>
          <c:cat>
            <c:strRef>
              <c:f>ورقة1!$B$1:$H$1</c:f>
              <c:strCache>
                <c:ptCount val="7"/>
                <c:pt idx="0">
                  <c:v>0-17</c:v>
                </c:pt>
                <c:pt idx="1">
                  <c:v>18-34</c:v>
                </c:pt>
                <c:pt idx="2">
                  <c:v>35-44</c:v>
                </c:pt>
                <c:pt idx="3">
                  <c:v>45-54</c:v>
                </c:pt>
                <c:pt idx="4">
                  <c:v>55-64</c:v>
                </c:pt>
                <c:pt idx="5">
                  <c:v>65-74</c:v>
                </c:pt>
                <c:pt idx="6">
                  <c:v>75 +</c:v>
                </c:pt>
              </c:strCache>
            </c:strRef>
          </c:cat>
          <c:val>
            <c:numRef>
              <c:f>ورقة1!$B$2:$H$2</c:f>
              <c:numCache>
                <c:formatCode>General</c:formatCode>
                <c:ptCount val="7"/>
                <c:pt idx="0">
                  <c:v>1.8</c:v>
                </c:pt>
                <c:pt idx="1">
                  <c:v>2.2999999999999998</c:v>
                </c:pt>
                <c:pt idx="2">
                  <c:v>3.4</c:v>
                </c:pt>
                <c:pt idx="3">
                  <c:v>4.4000000000000004</c:v>
                </c:pt>
                <c:pt idx="4">
                  <c:v>7.5</c:v>
                </c:pt>
                <c:pt idx="5">
                  <c:v>11.9</c:v>
                </c:pt>
                <c:pt idx="6">
                  <c:v>28.9</c:v>
                </c:pt>
              </c:numCache>
            </c:numRef>
          </c:val>
        </c:ser>
        <c:ser>
          <c:idx val="1"/>
          <c:order val="1"/>
          <c:tx>
            <c:strRef>
              <c:f>ورقة1!$A$3</c:f>
              <c:strCache>
                <c:ptCount val="1"/>
                <c:pt idx="0">
                  <c:v>Female</c:v>
                </c:pt>
              </c:strCache>
            </c:strRef>
          </c:tx>
          <c:spPr>
            <a:solidFill>
              <a:schemeClr val="accent2">
                <a:lumMod val="60000"/>
                <a:lumOff val="40000"/>
              </a:schemeClr>
            </a:solidFill>
          </c:spPr>
          <c:dLbls>
            <c:dLbl>
              <c:idx val="0"/>
              <c:layout>
                <c:manualLayout>
                  <c:x val="3.1384674542160652E-3"/>
                  <c:y val="3.7409275143746666E-2"/>
                </c:manualLayout>
              </c:layout>
              <c:showVal val="1"/>
            </c:dLbl>
            <c:dLbl>
              <c:idx val="1"/>
              <c:layout>
                <c:manualLayout>
                  <c:x val="1.5692337271080343E-2"/>
                  <c:y val="3.7409275143746666E-2"/>
                </c:manualLayout>
              </c:layout>
              <c:showVal val="1"/>
            </c:dLbl>
            <c:dLbl>
              <c:idx val="2"/>
              <c:layout>
                <c:manualLayout>
                  <c:x val="1.2553869816864394E-2"/>
                  <c:y val="3.7409275143746666E-2"/>
                </c:manualLayout>
              </c:layout>
              <c:showVal val="1"/>
            </c:dLbl>
            <c:dLbl>
              <c:idx val="3"/>
              <c:layout>
                <c:manualLayout>
                  <c:x val="9.4154023626485533E-3"/>
                  <c:y val="4.676159392968289E-2"/>
                </c:manualLayout>
              </c:layout>
              <c:showVal val="1"/>
            </c:dLbl>
            <c:dLbl>
              <c:idx val="4"/>
              <c:layout>
                <c:manualLayout>
                  <c:x val="3.1384674542160652E-3"/>
                  <c:y val="5.6113912715618913E-2"/>
                </c:manualLayout>
              </c:layout>
              <c:showVal val="1"/>
            </c:dLbl>
            <c:dLbl>
              <c:idx val="5"/>
              <c:layout>
                <c:manualLayout>
                  <c:x val="1.5692337271080343E-2"/>
                  <c:y val="4.676159392968289E-2"/>
                </c:manualLayout>
              </c:layout>
              <c:showVal val="1"/>
            </c:dLbl>
            <c:dLbl>
              <c:idx val="6"/>
              <c:layout>
                <c:manualLayout>
                  <c:x val="1.8830804725296604E-2"/>
                  <c:y val="5.6113912715618913E-2"/>
                </c:manualLayout>
              </c:layout>
              <c:showVal val="1"/>
            </c:dLbl>
            <c:txPr>
              <a:bodyPr/>
              <a:lstStyle/>
              <a:p>
                <a:pPr>
                  <a:defRPr sz="800">
                    <a:latin typeface="Arial" pitchFamily="34" charset="0"/>
                    <a:cs typeface="Arial" pitchFamily="34" charset="0"/>
                  </a:defRPr>
                </a:pPr>
                <a:endParaRPr lang="ar-SA"/>
              </a:p>
            </c:txPr>
            <c:showVal val="1"/>
          </c:dLbls>
          <c:cat>
            <c:strRef>
              <c:f>ورقة1!$B$1:$H$1</c:f>
              <c:strCache>
                <c:ptCount val="7"/>
                <c:pt idx="0">
                  <c:v>0-17</c:v>
                </c:pt>
                <c:pt idx="1">
                  <c:v>18-34</c:v>
                </c:pt>
                <c:pt idx="2">
                  <c:v>35-44</c:v>
                </c:pt>
                <c:pt idx="3">
                  <c:v>45-54</c:v>
                </c:pt>
                <c:pt idx="4">
                  <c:v>55-64</c:v>
                </c:pt>
                <c:pt idx="5">
                  <c:v>65-74</c:v>
                </c:pt>
                <c:pt idx="6">
                  <c:v>75 +</c:v>
                </c:pt>
              </c:strCache>
            </c:strRef>
          </c:cat>
          <c:val>
            <c:numRef>
              <c:f>ورقة1!$B$3:$H$3</c:f>
              <c:numCache>
                <c:formatCode>General</c:formatCode>
                <c:ptCount val="7"/>
                <c:pt idx="0">
                  <c:v>1.3</c:v>
                </c:pt>
                <c:pt idx="1">
                  <c:v>1.4</c:v>
                </c:pt>
                <c:pt idx="2">
                  <c:v>1.9</c:v>
                </c:pt>
                <c:pt idx="3">
                  <c:v>3.8</c:v>
                </c:pt>
                <c:pt idx="4">
                  <c:v>6.6</c:v>
                </c:pt>
                <c:pt idx="5">
                  <c:v>20.5</c:v>
                </c:pt>
                <c:pt idx="6">
                  <c:v>34.1</c:v>
                </c:pt>
              </c:numCache>
            </c:numRef>
          </c:val>
        </c:ser>
        <c:dLbls>
          <c:showVal val="1"/>
        </c:dLbls>
        <c:axId val="100591488"/>
        <c:axId val="109879296"/>
      </c:barChart>
      <c:catAx>
        <c:axId val="100591488"/>
        <c:scaling>
          <c:orientation val="minMax"/>
        </c:scaling>
        <c:axPos val="b"/>
        <c:title>
          <c:tx>
            <c:rich>
              <a:bodyPr/>
              <a:lstStyle/>
              <a:p>
                <a:pPr>
                  <a:defRPr sz="800" b="0" i="0" u="none" strike="noStrike" baseline="0">
                    <a:solidFill>
                      <a:srgbClr val="000000"/>
                    </a:solidFill>
                    <a:latin typeface="Arial" pitchFamily="34" charset="0"/>
                    <a:ea typeface="Arial"/>
                    <a:cs typeface="Arial" pitchFamily="34" charset="0"/>
                  </a:defRPr>
                </a:pPr>
                <a:r>
                  <a:rPr lang="en-US" sz="800" b="1" i="0" u="none" strike="noStrike" baseline="0">
                    <a:solidFill>
                      <a:srgbClr val="000000"/>
                    </a:solidFill>
                    <a:latin typeface="Arial" pitchFamily="34" charset="0"/>
                    <a:cs typeface="Arial" pitchFamily="34" charset="0"/>
                  </a:rPr>
                  <a:t> Age Group</a:t>
                </a:r>
              </a:p>
            </c:rich>
          </c:tx>
          <c:layout>
            <c:manualLayout>
              <c:xMode val="edge"/>
              <c:yMode val="edge"/>
              <c:x val="0.41197761123234578"/>
              <c:y val="0.86193557015564171"/>
            </c:manualLayout>
          </c:layout>
        </c:title>
        <c:numFmt formatCode="General" sourceLinked="1"/>
        <c:tickLblPos val="nextTo"/>
        <c:txPr>
          <a:bodyPr rot="0"/>
          <a:lstStyle/>
          <a:p>
            <a:pPr rtl="0">
              <a:defRPr>
                <a:latin typeface="Arial" pitchFamily="34" charset="0"/>
                <a:cs typeface="Arial" pitchFamily="34" charset="0"/>
              </a:defRPr>
            </a:pPr>
            <a:endParaRPr lang="ar-SA"/>
          </a:p>
        </c:txPr>
        <c:crossAx val="109879296"/>
        <c:crosses val="autoZero"/>
        <c:auto val="1"/>
        <c:lblAlgn val="ctr"/>
        <c:lblOffset val="100"/>
      </c:catAx>
      <c:valAx>
        <c:axId val="109879296"/>
        <c:scaling>
          <c:orientation val="minMax"/>
        </c:scaling>
        <c:axPos val="l"/>
        <c:title>
          <c:tx>
            <c:rich>
              <a:bodyPr/>
              <a:lstStyle/>
              <a:p>
                <a:pPr>
                  <a:defRPr sz="790" b="1" i="0" u="none" strike="noStrike" baseline="0">
                    <a:solidFill>
                      <a:srgbClr val="000000"/>
                    </a:solidFill>
                    <a:latin typeface="Calibri"/>
                    <a:ea typeface="Calibri"/>
                    <a:cs typeface="Calibri"/>
                  </a:defRPr>
                </a:pPr>
                <a:r>
                  <a:rPr lang="en-GB"/>
                  <a:t>Percentage</a:t>
                </a:r>
              </a:p>
            </c:rich>
          </c:tx>
          <c:layout>
            <c:manualLayout>
              <c:xMode val="edge"/>
              <c:yMode val="edge"/>
              <c:x val="9.4862600006324505E-3"/>
              <c:y val="0.1234873029406356"/>
            </c:manualLayout>
          </c:layout>
        </c:title>
        <c:numFmt formatCode="General" sourceLinked="1"/>
        <c:tickLblPos val="nextTo"/>
        <c:txPr>
          <a:bodyPr/>
          <a:lstStyle/>
          <a:p>
            <a:pPr>
              <a:defRPr>
                <a:latin typeface="Arial" pitchFamily="34" charset="0"/>
                <a:cs typeface="Arial" pitchFamily="34" charset="0"/>
              </a:defRPr>
            </a:pPr>
            <a:endParaRPr lang="ar-SA"/>
          </a:p>
        </c:txPr>
        <c:crossAx val="100591488"/>
        <c:crosses val="autoZero"/>
        <c:crossBetween val="between"/>
      </c:valAx>
    </c:plotArea>
    <c:legend>
      <c:legendPos val="r"/>
      <c:layout>
        <c:manualLayout>
          <c:xMode val="edge"/>
          <c:yMode val="edge"/>
          <c:x val="0.33767624830030285"/>
          <c:y val="4.9692896668171532E-2"/>
          <c:w val="0.24644594124530753"/>
          <c:h val="0.12913586438637839"/>
        </c:manualLayout>
      </c:layout>
      <c:txPr>
        <a:bodyPr/>
        <a:lstStyle/>
        <a:p>
          <a:pPr>
            <a:defRPr sz="800">
              <a:latin typeface="Arial" pitchFamily="34" charset="0"/>
              <a:cs typeface="Arial" pitchFamily="34" charset="0"/>
            </a:defRPr>
          </a:pPr>
          <a:endParaRPr lang="ar-SA"/>
        </a:p>
      </c:txPr>
    </c:legend>
    <c:plotVisOnly val="1"/>
    <c:dispBlanksAs val="gap"/>
  </c:chart>
  <c:spPr>
    <a:ln>
      <a:noFill/>
    </a:ln>
  </c:spPr>
  <c:txPr>
    <a:bodyPr/>
    <a:lstStyle/>
    <a:p>
      <a:pPr>
        <a:defRPr sz="793">
          <a:cs typeface="+mn-cs"/>
        </a:defRPr>
      </a:pPr>
      <a:endParaRPr lang="ar-SA"/>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321957222785652"/>
          <c:y val="0.22008982919688239"/>
          <c:w val="0.84653440751165154"/>
          <c:h val="0.66790129957161615"/>
        </c:manualLayout>
      </c:layout>
      <c:areaChart>
        <c:grouping val="standard"/>
        <c:ser>
          <c:idx val="0"/>
          <c:order val="0"/>
          <c:tx>
            <c:strRef>
              <c:f>Sheet1!$A$2</c:f>
              <c:strCache>
                <c:ptCount val="1"/>
                <c:pt idx="0">
                  <c:v>Imports</c:v>
                </c:pt>
              </c:strCache>
            </c:strRef>
          </c:tx>
          <c:spPr>
            <a:solidFill>
              <a:srgbClr val="4BACC6">
                <a:lumMod val="20000"/>
                <a:lumOff val="80000"/>
                <a:alpha val="70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delete val="1"/>
            </c:dLbl>
            <c:dLbl>
              <c:idx val="18"/>
              <c:delete val="1"/>
            </c:dLbl>
            <c:dLbl>
              <c:idx val="19"/>
              <c:delete val="1"/>
            </c:dLbl>
            <c:dLbl>
              <c:idx val="20"/>
              <c:delete val="1"/>
            </c:dLbl>
            <c:dLbl>
              <c:idx val="21"/>
              <c:layout>
                <c:manualLayout>
                  <c:x val="0"/>
                  <c:y val="-9.3211752786221028E-2"/>
                </c:manualLayout>
              </c:layout>
              <c:showVal val="1"/>
            </c:dLbl>
            <c:numFmt formatCode="#,##0.0" sourceLinked="0"/>
            <c:txPr>
              <a:bodyPr/>
              <a:lstStyle/>
              <a:p>
                <a:pPr>
                  <a:defRPr sz="700"/>
                </a:pPr>
                <a:endParaRPr lang="ar-SA"/>
              </a:p>
            </c:txPr>
            <c:showVal val="1"/>
          </c:dLbls>
          <c:cat>
            <c:numRef>
              <c:f>Sheet1!$B$1:$V$1</c:f>
              <c:numCache>
                <c:formatCode>General</c:formatCode>
                <c:ptCount val="21"/>
                <c:pt idx="0">
                  <c:v>96</c:v>
                </c:pt>
                <c:pt idx="1">
                  <c:v>97</c:v>
                </c:pt>
                <c:pt idx="2">
                  <c:v>98</c:v>
                </c:pt>
                <c:pt idx="3">
                  <c:v>99</c:v>
                </c:pt>
                <c:pt idx="4" formatCode="00">
                  <c:v>0</c:v>
                </c:pt>
                <c:pt idx="5" formatCode="00">
                  <c:v>1</c:v>
                </c:pt>
                <c:pt idx="6" formatCode="00">
                  <c:v>2</c:v>
                </c:pt>
                <c:pt idx="7" formatCode="00">
                  <c:v>3</c:v>
                </c:pt>
                <c:pt idx="8" formatCode="00">
                  <c:v>4</c:v>
                </c:pt>
                <c:pt idx="9" formatCode="00">
                  <c:v>5</c:v>
                </c:pt>
                <c:pt idx="10" formatCode="00">
                  <c:v>6</c:v>
                </c:pt>
                <c:pt idx="11" formatCode="00">
                  <c:v>7</c:v>
                </c:pt>
                <c:pt idx="12" formatCode="00">
                  <c:v>8</c:v>
                </c:pt>
                <c:pt idx="13" formatCode="00">
                  <c:v>9</c:v>
                </c:pt>
                <c:pt idx="14" formatCode="00">
                  <c:v>10</c:v>
                </c:pt>
                <c:pt idx="15" formatCode="00">
                  <c:v>11</c:v>
                </c:pt>
                <c:pt idx="16" formatCode="00">
                  <c:v>12</c:v>
                </c:pt>
                <c:pt idx="17" formatCode="00">
                  <c:v>13</c:v>
                </c:pt>
                <c:pt idx="18" formatCode="00">
                  <c:v>14</c:v>
                </c:pt>
                <c:pt idx="19" formatCode="00">
                  <c:v>15</c:v>
                </c:pt>
                <c:pt idx="20" formatCode="00">
                  <c:v>16</c:v>
                </c:pt>
              </c:numCache>
            </c:numRef>
          </c:cat>
          <c:val>
            <c:numRef>
              <c:f>Sheet1!$B$2:$V$2</c:f>
              <c:numCache>
                <c:formatCode>General</c:formatCode>
                <c:ptCount val="21"/>
                <c:pt idx="0">
                  <c:v>2016.1</c:v>
                </c:pt>
                <c:pt idx="1">
                  <c:v>2238.6</c:v>
                </c:pt>
                <c:pt idx="2">
                  <c:v>2375.1</c:v>
                </c:pt>
                <c:pt idx="3">
                  <c:v>3007.2</c:v>
                </c:pt>
                <c:pt idx="4">
                  <c:v>2382.8000000000002</c:v>
                </c:pt>
                <c:pt idx="5">
                  <c:v>2033.6</c:v>
                </c:pt>
                <c:pt idx="6">
                  <c:v>1515.6</c:v>
                </c:pt>
                <c:pt idx="7">
                  <c:v>1800.3</c:v>
                </c:pt>
                <c:pt idx="8">
                  <c:v>2373.1999999999998</c:v>
                </c:pt>
                <c:pt idx="9">
                  <c:v>2667.6</c:v>
                </c:pt>
                <c:pt idx="10">
                  <c:v>2758.7</c:v>
                </c:pt>
                <c:pt idx="11">
                  <c:v>3284</c:v>
                </c:pt>
                <c:pt idx="12">
                  <c:v>3466.2</c:v>
                </c:pt>
                <c:pt idx="13">
                  <c:v>3600.8</c:v>
                </c:pt>
                <c:pt idx="14">
                  <c:v>3958.5</c:v>
                </c:pt>
                <c:pt idx="15">
                  <c:v>4373.6000000000004</c:v>
                </c:pt>
                <c:pt idx="16">
                  <c:v>4697.4000000000005</c:v>
                </c:pt>
                <c:pt idx="17">
                  <c:v>5163.9000000000005</c:v>
                </c:pt>
                <c:pt idx="18">
                  <c:v>5683.2</c:v>
                </c:pt>
                <c:pt idx="19">
                  <c:v>5225.5</c:v>
                </c:pt>
                <c:pt idx="20" formatCode="0.0">
                  <c:v>5363.7680165118154</c:v>
                </c:pt>
              </c:numCache>
            </c:numRef>
          </c:val>
        </c:ser>
        <c:ser>
          <c:idx val="1"/>
          <c:order val="1"/>
          <c:tx>
            <c:strRef>
              <c:f>Sheet1!$A$3</c:f>
              <c:strCache>
                <c:ptCount val="1"/>
                <c:pt idx="0">
                  <c:v>Exports</c:v>
                </c:pt>
              </c:strCache>
            </c:strRef>
          </c:tx>
          <c:spPr>
            <a:solidFill>
              <a:srgbClr val="4BACC6">
                <a:lumMod val="75000"/>
                <a:alpha val="31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delete val="1"/>
            </c:dLbl>
            <c:dLbl>
              <c:idx val="18"/>
              <c:delete val="1"/>
            </c:dLbl>
            <c:dLbl>
              <c:idx val="19"/>
              <c:delete val="1"/>
            </c:dLbl>
            <c:dLbl>
              <c:idx val="20"/>
              <c:delete val="1"/>
            </c:dLbl>
            <c:dLbl>
              <c:idx val="21"/>
              <c:layout>
                <c:manualLayout>
                  <c:x val="-9.2432120161756205E-3"/>
                  <c:y val="-6.4842958459979824E-2"/>
                </c:manualLayout>
              </c:layout>
              <c:showVal val="1"/>
            </c:dLbl>
            <c:txPr>
              <a:bodyPr/>
              <a:lstStyle/>
              <a:p>
                <a:pPr>
                  <a:defRPr sz="700"/>
                </a:pPr>
                <a:endParaRPr lang="ar-SA"/>
              </a:p>
            </c:txPr>
            <c:showVal val="1"/>
          </c:dLbls>
          <c:cat>
            <c:numRef>
              <c:f>Sheet1!$B$1:$V$1</c:f>
              <c:numCache>
                <c:formatCode>General</c:formatCode>
                <c:ptCount val="21"/>
                <c:pt idx="0">
                  <c:v>96</c:v>
                </c:pt>
                <c:pt idx="1">
                  <c:v>97</c:v>
                </c:pt>
                <c:pt idx="2">
                  <c:v>98</c:v>
                </c:pt>
                <c:pt idx="3">
                  <c:v>99</c:v>
                </c:pt>
                <c:pt idx="4" formatCode="00">
                  <c:v>0</c:v>
                </c:pt>
                <c:pt idx="5" formatCode="00">
                  <c:v>1</c:v>
                </c:pt>
                <c:pt idx="6" formatCode="00">
                  <c:v>2</c:v>
                </c:pt>
                <c:pt idx="7" formatCode="00">
                  <c:v>3</c:v>
                </c:pt>
                <c:pt idx="8" formatCode="00">
                  <c:v>4</c:v>
                </c:pt>
                <c:pt idx="9" formatCode="00">
                  <c:v>5</c:v>
                </c:pt>
                <c:pt idx="10" formatCode="00">
                  <c:v>6</c:v>
                </c:pt>
                <c:pt idx="11" formatCode="00">
                  <c:v>7</c:v>
                </c:pt>
                <c:pt idx="12" formatCode="00">
                  <c:v>8</c:v>
                </c:pt>
                <c:pt idx="13" formatCode="00">
                  <c:v>9</c:v>
                </c:pt>
                <c:pt idx="14" formatCode="00">
                  <c:v>10</c:v>
                </c:pt>
                <c:pt idx="15" formatCode="00">
                  <c:v>11</c:v>
                </c:pt>
                <c:pt idx="16" formatCode="00">
                  <c:v>12</c:v>
                </c:pt>
                <c:pt idx="17" formatCode="00">
                  <c:v>13</c:v>
                </c:pt>
                <c:pt idx="18" formatCode="00">
                  <c:v>14</c:v>
                </c:pt>
                <c:pt idx="19" formatCode="00">
                  <c:v>15</c:v>
                </c:pt>
                <c:pt idx="20" formatCode="00">
                  <c:v>16</c:v>
                </c:pt>
              </c:numCache>
            </c:numRef>
          </c:cat>
          <c:val>
            <c:numRef>
              <c:f>Sheet1!$B$3:$V$3</c:f>
              <c:numCache>
                <c:formatCode>General</c:formatCode>
                <c:ptCount val="21"/>
                <c:pt idx="0">
                  <c:v>339.5</c:v>
                </c:pt>
                <c:pt idx="1">
                  <c:v>382.4</c:v>
                </c:pt>
                <c:pt idx="2">
                  <c:v>394.8</c:v>
                </c:pt>
                <c:pt idx="3">
                  <c:v>372.1</c:v>
                </c:pt>
                <c:pt idx="4">
                  <c:v>400.9</c:v>
                </c:pt>
                <c:pt idx="5">
                  <c:v>290.3</c:v>
                </c:pt>
                <c:pt idx="6">
                  <c:v>240.9</c:v>
                </c:pt>
                <c:pt idx="7">
                  <c:v>279.7</c:v>
                </c:pt>
                <c:pt idx="8">
                  <c:v>312.7</c:v>
                </c:pt>
                <c:pt idx="9">
                  <c:v>335.4</c:v>
                </c:pt>
                <c:pt idx="10">
                  <c:v>366.7</c:v>
                </c:pt>
                <c:pt idx="11">
                  <c:v>513</c:v>
                </c:pt>
                <c:pt idx="12">
                  <c:v>558.4</c:v>
                </c:pt>
                <c:pt idx="13">
                  <c:v>518.4</c:v>
                </c:pt>
                <c:pt idx="14">
                  <c:v>575.5</c:v>
                </c:pt>
                <c:pt idx="15">
                  <c:v>745.7</c:v>
                </c:pt>
                <c:pt idx="16">
                  <c:v>782.4</c:v>
                </c:pt>
                <c:pt idx="17">
                  <c:v>900.6</c:v>
                </c:pt>
                <c:pt idx="18">
                  <c:v>943.7</c:v>
                </c:pt>
                <c:pt idx="19">
                  <c:v>957.8</c:v>
                </c:pt>
                <c:pt idx="20" formatCode="0.0">
                  <c:v>926.49897742054804</c:v>
                </c:pt>
              </c:numCache>
            </c:numRef>
          </c:val>
        </c:ser>
        <c:ser>
          <c:idx val="2"/>
          <c:order val="2"/>
          <c:tx>
            <c:strRef>
              <c:f>Sheet1!$A$4</c:f>
              <c:strCache>
                <c:ptCount val="1"/>
                <c:pt idx="0">
                  <c:v>Net Trade Balance in Goods</c:v>
                </c:pt>
              </c:strCache>
            </c:strRef>
          </c:tx>
          <c:spPr>
            <a:solidFill>
              <a:srgbClr val="4BACC6">
                <a:lumMod val="75000"/>
                <a:alpha val="75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delete val="1"/>
            </c:dLbl>
            <c:dLbl>
              <c:idx val="18"/>
              <c:delete val="1"/>
            </c:dLbl>
            <c:dLbl>
              <c:idx val="19"/>
              <c:delete val="1"/>
            </c:dLbl>
            <c:dLbl>
              <c:idx val="20"/>
              <c:delete val="1"/>
            </c:dLbl>
            <c:dLbl>
              <c:idx val="21"/>
              <c:layout>
                <c:manualLayout>
                  <c:x val="0"/>
                  <c:y val="9.7264437689969702E-2"/>
                </c:manualLayout>
              </c:layout>
              <c:numFmt formatCode="#,##0.0" sourceLinked="0"/>
              <c:spPr/>
              <c:txPr>
                <a:bodyPr/>
                <a:lstStyle/>
                <a:p>
                  <a:pPr>
                    <a:defRPr sz="700"/>
                  </a:pPr>
                  <a:endParaRPr lang="ar-SA"/>
                </a:p>
              </c:txPr>
              <c:showVal val="1"/>
            </c:dLbl>
            <c:txPr>
              <a:bodyPr/>
              <a:lstStyle/>
              <a:p>
                <a:pPr>
                  <a:defRPr sz="700"/>
                </a:pPr>
                <a:endParaRPr lang="ar-SA"/>
              </a:p>
            </c:txPr>
            <c:showVal val="1"/>
          </c:dLbls>
          <c:cat>
            <c:numRef>
              <c:f>Sheet1!$B$1:$V$1</c:f>
              <c:numCache>
                <c:formatCode>General</c:formatCode>
                <c:ptCount val="21"/>
                <c:pt idx="0">
                  <c:v>96</c:v>
                </c:pt>
                <c:pt idx="1">
                  <c:v>97</c:v>
                </c:pt>
                <c:pt idx="2">
                  <c:v>98</c:v>
                </c:pt>
                <c:pt idx="3">
                  <c:v>99</c:v>
                </c:pt>
                <c:pt idx="4" formatCode="00">
                  <c:v>0</c:v>
                </c:pt>
                <c:pt idx="5" formatCode="00">
                  <c:v>1</c:v>
                </c:pt>
                <c:pt idx="6" formatCode="00">
                  <c:v>2</c:v>
                </c:pt>
                <c:pt idx="7" formatCode="00">
                  <c:v>3</c:v>
                </c:pt>
                <c:pt idx="8" formatCode="00">
                  <c:v>4</c:v>
                </c:pt>
                <c:pt idx="9" formatCode="00">
                  <c:v>5</c:v>
                </c:pt>
                <c:pt idx="10" formatCode="00">
                  <c:v>6</c:v>
                </c:pt>
                <c:pt idx="11" formatCode="00">
                  <c:v>7</c:v>
                </c:pt>
                <c:pt idx="12" formatCode="00">
                  <c:v>8</c:v>
                </c:pt>
                <c:pt idx="13" formatCode="00">
                  <c:v>9</c:v>
                </c:pt>
                <c:pt idx="14" formatCode="00">
                  <c:v>10</c:v>
                </c:pt>
                <c:pt idx="15" formatCode="00">
                  <c:v>11</c:v>
                </c:pt>
                <c:pt idx="16" formatCode="00">
                  <c:v>12</c:v>
                </c:pt>
                <c:pt idx="17" formatCode="00">
                  <c:v>13</c:v>
                </c:pt>
                <c:pt idx="18" formatCode="00">
                  <c:v>14</c:v>
                </c:pt>
                <c:pt idx="19" formatCode="00">
                  <c:v>15</c:v>
                </c:pt>
                <c:pt idx="20" formatCode="00">
                  <c:v>16</c:v>
                </c:pt>
              </c:numCache>
            </c:numRef>
          </c:cat>
          <c:val>
            <c:numRef>
              <c:f>Sheet1!$B$4:$V$4</c:f>
              <c:numCache>
                <c:formatCode>General</c:formatCode>
                <c:ptCount val="21"/>
                <c:pt idx="0">
                  <c:v>-1676.6</c:v>
                </c:pt>
                <c:pt idx="1">
                  <c:v>-1856.1999999999998</c:v>
                </c:pt>
                <c:pt idx="2">
                  <c:v>-1980.3</c:v>
                </c:pt>
                <c:pt idx="3">
                  <c:v>-2635.1</c:v>
                </c:pt>
                <c:pt idx="4">
                  <c:v>-1981.9</c:v>
                </c:pt>
                <c:pt idx="5">
                  <c:v>-1743.3</c:v>
                </c:pt>
                <c:pt idx="6">
                  <c:v>-1274.6999999999998</c:v>
                </c:pt>
                <c:pt idx="7">
                  <c:v>-1520.6</c:v>
                </c:pt>
                <c:pt idx="8">
                  <c:v>-2060.5</c:v>
                </c:pt>
                <c:pt idx="9">
                  <c:v>-2332.1999999999998</c:v>
                </c:pt>
                <c:pt idx="10">
                  <c:v>-2392</c:v>
                </c:pt>
                <c:pt idx="11">
                  <c:v>-2771</c:v>
                </c:pt>
                <c:pt idx="12">
                  <c:v>-2907.7999999999997</c:v>
                </c:pt>
                <c:pt idx="13">
                  <c:v>-3082.4</c:v>
                </c:pt>
                <c:pt idx="14">
                  <c:v>-3383</c:v>
                </c:pt>
                <c:pt idx="15">
                  <c:v>-3627.9000000000005</c:v>
                </c:pt>
                <c:pt idx="16">
                  <c:v>-3914.9999999999995</c:v>
                </c:pt>
                <c:pt idx="17">
                  <c:v>-4263.2999999999993</c:v>
                </c:pt>
                <c:pt idx="18">
                  <c:v>-4739.5</c:v>
                </c:pt>
                <c:pt idx="19">
                  <c:v>-4267.7</c:v>
                </c:pt>
                <c:pt idx="20" formatCode="0.0">
                  <c:v>-4437.2690390912967</c:v>
                </c:pt>
              </c:numCache>
            </c:numRef>
          </c:val>
        </c:ser>
        <c:axId val="111890432"/>
        <c:axId val="111892352"/>
      </c:areaChart>
      <c:catAx>
        <c:axId val="111890432"/>
        <c:scaling>
          <c:orientation val="minMax"/>
        </c:scaling>
        <c:axPos val="b"/>
        <c:majorGridlines>
          <c:spPr>
            <a:ln w="12693">
              <a:solidFill>
                <a:schemeClr val="bg1">
                  <a:lumMod val="95000"/>
                </a:schemeClr>
              </a:solidFill>
              <a:prstDash val="solid"/>
            </a:ln>
          </c:spPr>
        </c:majorGridlines>
        <c:title>
          <c:tx>
            <c:rich>
              <a:bodyPr/>
              <a:lstStyle/>
              <a:p>
                <a:pPr>
                  <a:defRPr sz="800" b="1"/>
                </a:pPr>
                <a:r>
                  <a:rPr lang="en-US" sz="800" b="1"/>
                  <a:t>Year</a:t>
                </a:r>
              </a:p>
            </c:rich>
          </c:tx>
          <c:layout>
            <c:manualLayout>
              <c:xMode val="edge"/>
              <c:yMode val="edge"/>
              <c:x val="0.46916052280729736"/>
              <c:y val="0.91367105335610443"/>
            </c:manualLayout>
          </c:layout>
          <c:spPr>
            <a:noFill/>
            <a:ln w="25386">
              <a:noFill/>
            </a:ln>
          </c:spPr>
        </c:title>
        <c:numFmt formatCode="General" sourceLinked="1"/>
        <c:tickLblPos val="nextTo"/>
        <c:spPr>
          <a:ln w="3173">
            <a:solidFill>
              <a:srgbClr val="000000"/>
            </a:solidFill>
            <a:prstDash val="solid"/>
          </a:ln>
        </c:spPr>
        <c:txPr>
          <a:bodyPr rot="0" vert="horz"/>
          <a:lstStyle/>
          <a:p>
            <a:pPr>
              <a:defRPr sz="800"/>
            </a:pPr>
            <a:endParaRPr lang="ar-SA"/>
          </a:p>
        </c:txPr>
        <c:crossAx val="111892352"/>
        <c:crosses val="autoZero"/>
        <c:auto val="1"/>
        <c:lblAlgn val="ctr"/>
        <c:lblOffset val="100"/>
        <c:tickLblSkip val="1"/>
        <c:tickMarkSkip val="1"/>
      </c:catAx>
      <c:valAx>
        <c:axId val="111892352"/>
        <c:scaling>
          <c:orientation val="minMax"/>
        </c:scaling>
        <c:axPos val="l"/>
        <c:majorGridlines>
          <c:spPr>
            <a:ln w="12693">
              <a:solidFill>
                <a:schemeClr val="bg1">
                  <a:lumMod val="95000"/>
                </a:schemeClr>
              </a:solidFill>
              <a:prstDash val="solid"/>
            </a:ln>
          </c:spPr>
        </c:majorGridlines>
        <c:title>
          <c:tx>
            <c:rich>
              <a:bodyPr/>
              <a:lstStyle/>
              <a:p>
                <a:pPr>
                  <a:defRPr sz="800" b="1"/>
                </a:pPr>
                <a:r>
                  <a:rPr lang="en-US" sz="800" b="1"/>
                  <a:t>Value in Million USD</a:t>
                </a:r>
              </a:p>
            </c:rich>
          </c:tx>
          <c:layout>
            <c:manualLayout>
              <c:xMode val="edge"/>
              <c:yMode val="edge"/>
              <c:x val="1.2297594493886541E-3"/>
              <c:y val="0.17838885523924888"/>
            </c:manualLayout>
          </c:layout>
          <c:spPr>
            <a:noFill/>
            <a:ln w="25386">
              <a:noFill/>
            </a:ln>
          </c:spPr>
        </c:title>
        <c:numFmt formatCode="General" sourceLinked="1"/>
        <c:tickLblPos val="nextTo"/>
        <c:spPr>
          <a:ln w="3173">
            <a:solidFill>
              <a:srgbClr val="000000"/>
            </a:solidFill>
            <a:prstDash val="solid"/>
          </a:ln>
        </c:spPr>
        <c:txPr>
          <a:bodyPr rot="0" vert="horz"/>
          <a:lstStyle/>
          <a:p>
            <a:pPr>
              <a:defRPr sz="800"/>
            </a:pPr>
            <a:endParaRPr lang="ar-SA"/>
          </a:p>
        </c:txPr>
        <c:crossAx val="111890432"/>
        <c:crosses val="autoZero"/>
        <c:crossBetween val="midCat"/>
      </c:valAx>
      <c:spPr>
        <a:noFill/>
        <a:ln w="25386">
          <a:noFill/>
        </a:ln>
      </c:spPr>
    </c:plotArea>
    <c:legend>
      <c:legendPos val="r"/>
      <c:layout>
        <c:manualLayout>
          <c:xMode val="edge"/>
          <c:yMode val="edge"/>
          <c:x val="0.16651321262121541"/>
          <c:y val="6.1379105854446024E-2"/>
          <c:w val="0.70967899996581474"/>
          <c:h val="7.2402970905234273E-2"/>
        </c:manualLayout>
      </c:layout>
      <c:spPr>
        <a:noFill/>
        <a:ln w="3173">
          <a:solidFill>
            <a:srgbClr val="000000"/>
          </a:solidFill>
          <a:prstDash val="solid"/>
        </a:ln>
      </c:spPr>
      <c:txPr>
        <a:bodyPr/>
        <a:lstStyle/>
        <a:p>
          <a:pPr>
            <a:defRPr sz="800"/>
          </a:pPr>
          <a:endParaRPr lang="ar-SA"/>
        </a:p>
      </c:txPr>
    </c:legend>
    <c:plotVisOnly val="1"/>
    <c:dispBlanksAs val="zero"/>
  </c:chart>
  <c:spPr>
    <a:ln w="3173">
      <a:noFill/>
      <a:prstDash val="soli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3772706377804743E-2"/>
          <c:y val="0.13275568842155652"/>
          <c:w val="0.87545206113941643"/>
          <c:h val="0.68262154730660185"/>
        </c:manualLayout>
      </c:layout>
      <c:lineChart>
        <c:grouping val="standard"/>
        <c:ser>
          <c:idx val="0"/>
          <c:order val="0"/>
          <c:tx>
            <c:strRef>
              <c:f>Sheet1!$A$2</c:f>
              <c:strCache>
                <c:ptCount val="1"/>
                <c:pt idx="0">
                  <c:v>Full Employment</c:v>
                </c:pt>
              </c:strCache>
            </c:strRef>
          </c:tx>
          <c:spPr>
            <a:ln w="1269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3.5310734463276844E-2"/>
                  <c:y val="-7.0287914795550716E-2"/>
                </c:manualLayout>
              </c:layout>
              <c:showVal val="1"/>
            </c:dLbl>
            <c:dLbl>
              <c:idx val="1"/>
              <c:layout>
                <c:manualLayout>
                  <c:x val="-2.9425612052730695E-2"/>
                  <c:y val="-7.0287914795550716E-2"/>
                </c:manualLayout>
              </c:layout>
              <c:showVal val="1"/>
            </c:dLbl>
            <c:dLbl>
              <c:idx val="2"/>
              <c:layout>
                <c:manualLayout>
                  <c:x val="-2.6483050847457636E-2"/>
                  <c:y val="-5.6230331836442285E-2"/>
                </c:manualLayout>
              </c:layout>
              <c:showVal val="1"/>
            </c:dLbl>
            <c:dLbl>
              <c:idx val="3"/>
              <c:layout>
                <c:manualLayout>
                  <c:x val="-3.2368173258003792E-2"/>
                  <c:y val="-7.0287914795550729E-2"/>
                </c:manualLayout>
              </c:layout>
              <c:showVal val="1"/>
            </c:dLbl>
            <c:txPr>
              <a:bodyPr/>
              <a:lstStyle/>
              <a:p>
                <a:pPr>
                  <a:defRPr sz="800"/>
                </a:pPr>
                <a:endParaRPr lang="ar-SA"/>
              </a:p>
            </c:txPr>
            <c:showVal val="1"/>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55.8</c:v>
                </c:pt>
                <c:pt idx="1">
                  <c:v>66.400000000000006</c:v>
                </c:pt>
                <c:pt idx="2" formatCode="0.0">
                  <c:v>83</c:v>
                </c:pt>
                <c:pt idx="3">
                  <c:v>84.9</c:v>
                </c:pt>
                <c:pt idx="4" formatCode="0.0">
                  <c:v>87</c:v>
                </c:pt>
              </c:numCache>
            </c:numRef>
          </c:val>
          <c:smooth val="1"/>
        </c:ser>
        <c:ser>
          <c:idx val="1"/>
          <c:order val="1"/>
          <c:tx>
            <c:strRef>
              <c:f>Sheet1!$A$3</c:f>
              <c:strCache>
                <c:ptCount val="1"/>
                <c:pt idx="0">
                  <c:v>Time Related Underemployment</c:v>
                </c:pt>
              </c:strCache>
            </c:strRef>
          </c:tx>
          <c:spPr>
            <a:ln w="12691">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2.6483050847457636E-2"/>
                  <c:y val="-6.3259123315995647E-2"/>
                </c:manualLayout>
              </c:layout>
              <c:showVal val="1"/>
            </c:dLbl>
            <c:dLbl>
              <c:idx val="1"/>
              <c:layout>
                <c:manualLayout>
                  <c:x val="-3.2368173258003792E-2"/>
                  <c:y val="-4.9201540356885495E-2"/>
                </c:manualLayout>
              </c:layout>
              <c:showVal val="1"/>
            </c:dLbl>
            <c:dLbl>
              <c:idx val="2"/>
              <c:layout>
                <c:manualLayout>
                  <c:x val="-2.3540489642184328E-2"/>
                  <c:y val="-3.5143957397775392E-2"/>
                </c:manualLayout>
              </c:layout>
              <c:showVal val="1"/>
            </c:dLbl>
            <c:dLbl>
              <c:idx val="3"/>
              <c:layout>
                <c:manualLayout>
                  <c:x val="-1.4712806026365349E-2"/>
                  <c:y val="-2.8115165918220292E-2"/>
                </c:manualLayout>
              </c:layout>
              <c:showVal val="1"/>
            </c:dLbl>
            <c:txPr>
              <a:bodyPr/>
              <a:lstStyle/>
              <a:p>
                <a:pPr>
                  <a:defRPr sz="800"/>
                </a:pPr>
                <a:endParaRPr lang="ar-SA"/>
              </a:p>
            </c:txPr>
            <c:showVal val="1"/>
          </c:dLbls>
          <c:cat>
            <c:strRef>
              <c:f>Sheet1!$B$1:$F$1</c:f>
              <c:strCache>
                <c:ptCount val="5"/>
                <c:pt idx="0">
                  <c:v>15-24</c:v>
                </c:pt>
                <c:pt idx="1">
                  <c:v>25-34</c:v>
                </c:pt>
                <c:pt idx="2">
                  <c:v>35-44</c:v>
                </c:pt>
                <c:pt idx="3">
                  <c:v>45-54</c:v>
                </c:pt>
                <c:pt idx="4">
                  <c:v>55+</c:v>
                </c:pt>
              </c:strCache>
            </c:strRef>
          </c:cat>
          <c:val>
            <c:numRef>
              <c:f>Sheet1!$B$3:$F$3</c:f>
              <c:numCache>
                <c:formatCode>General</c:formatCode>
                <c:ptCount val="5"/>
                <c:pt idx="0">
                  <c:v>2.5</c:v>
                </c:pt>
                <c:pt idx="1">
                  <c:v>2.2999999999999998</c:v>
                </c:pt>
                <c:pt idx="2">
                  <c:v>1.6</c:v>
                </c:pt>
                <c:pt idx="3">
                  <c:v>1.6</c:v>
                </c:pt>
                <c:pt idx="4">
                  <c:v>1.1000000000000001</c:v>
                </c:pt>
              </c:numCache>
            </c:numRef>
          </c:val>
          <c:smooth val="1"/>
        </c:ser>
        <c:ser>
          <c:idx val="2"/>
          <c:order val="2"/>
          <c:tx>
            <c:strRef>
              <c:f>Sheet1!$A$4</c:f>
              <c:strCache>
                <c:ptCount val="1"/>
                <c:pt idx="0">
                  <c:v>Unemployment </c:v>
                </c:pt>
              </c:strCache>
            </c:strRef>
          </c:tx>
          <c:spPr>
            <a:ln w="12691">
              <a:solidFill>
                <a:srgbClr val="003366"/>
              </a:solidFill>
              <a:prstDash val="solid"/>
            </a:ln>
          </c:spPr>
          <c:marker>
            <c:symbol val="square"/>
            <c:size val="4"/>
            <c:spPr>
              <a:solidFill>
                <a:srgbClr val="FFFF00"/>
              </a:solidFill>
              <a:ln>
                <a:solidFill>
                  <a:srgbClr val="0000FF"/>
                </a:solidFill>
                <a:prstDash val="solid"/>
              </a:ln>
            </c:spPr>
          </c:marker>
          <c:dLbls>
            <c:dLbl>
              <c:idx val="0"/>
              <c:layout>
                <c:manualLayout>
                  <c:x val="-8.8276836158194746E-3"/>
                  <c:y val="-2.8115165918220292E-2"/>
                </c:manualLayout>
              </c:layout>
              <c:showVal val="1"/>
            </c:dLbl>
            <c:dLbl>
              <c:idx val="1"/>
              <c:layout>
                <c:manualLayout>
                  <c:x val="-1.4712806026365349E-2"/>
                  <c:y val="-4.9201540356885454E-2"/>
                </c:manualLayout>
              </c:layout>
              <c:showVal val="1"/>
            </c:dLbl>
            <c:dLbl>
              <c:idx val="2"/>
              <c:layout>
                <c:manualLayout>
                  <c:x val="-1.1770244821092278E-2"/>
                  <c:y val="-5.6230331836442285E-2"/>
                </c:manualLayout>
              </c:layout>
              <c:showVal val="1"/>
            </c:dLbl>
            <c:dLbl>
              <c:idx val="3"/>
              <c:layout>
                <c:manualLayout>
                  <c:x val="-1.1770244821092278E-2"/>
                  <c:y val="-5.6230331836442285E-2"/>
                </c:manualLayout>
              </c:layout>
              <c:showVal val="1"/>
            </c:dLbl>
            <c:txPr>
              <a:bodyPr/>
              <a:lstStyle/>
              <a:p>
                <a:pPr>
                  <a:defRPr sz="800"/>
                </a:pPr>
                <a:endParaRPr lang="ar-SA"/>
              </a:p>
            </c:txPr>
            <c:showVal val="1"/>
          </c:dLbls>
          <c:cat>
            <c:strRef>
              <c:f>Sheet1!$B$1:$F$1</c:f>
              <c:strCache>
                <c:ptCount val="5"/>
                <c:pt idx="0">
                  <c:v>15-24</c:v>
                </c:pt>
                <c:pt idx="1">
                  <c:v>25-34</c:v>
                </c:pt>
                <c:pt idx="2">
                  <c:v>35-44</c:v>
                </c:pt>
                <c:pt idx="3">
                  <c:v>45-54</c:v>
                </c:pt>
                <c:pt idx="4">
                  <c:v>55+</c:v>
                </c:pt>
              </c:strCache>
            </c:strRef>
          </c:cat>
          <c:val>
            <c:numRef>
              <c:f>Sheet1!$B$4:$F$4</c:f>
              <c:numCache>
                <c:formatCode>General</c:formatCode>
                <c:ptCount val="5"/>
                <c:pt idx="0">
                  <c:v>41.7</c:v>
                </c:pt>
                <c:pt idx="1">
                  <c:v>31.3</c:v>
                </c:pt>
                <c:pt idx="2">
                  <c:v>15.4</c:v>
                </c:pt>
                <c:pt idx="3">
                  <c:v>13.5</c:v>
                </c:pt>
                <c:pt idx="4">
                  <c:v>11.9</c:v>
                </c:pt>
              </c:numCache>
            </c:numRef>
          </c:val>
          <c:smooth val="1"/>
        </c:ser>
        <c:dLbls>
          <c:showVal val="1"/>
        </c:dLbls>
        <c:marker val="1"/>
        <c:axId val="110106880"/>
        <c:axId val="110137728"/>
      </c:lineChart>
      <c:catAx>
        <c:axId val="110106880"/>
        <c:scaling>
          <c:orientation val="minMax"/>
        </c:scaling>
        <c:axPos val="b"/>
        <c:title>
          <c:tx>
            <c:rich>
              <a:bodyPr/>
              <a:lstStyle/>
              <a:p>
                <a:pPr>
                  <a:defRPr sz="800" b="1" i="0" u="none" strike="noStrike" baseline="0">
                    <a:solidFill>
                      <a:srgbClr val="000000"/>
                    </a:solidFill>
                    <a:latin typeface="Arial"/>
                    <a:ea typeface="Arial"/>
                    <a:cs typeface="Arial"/>
                  </a:defRPr>
                </a:pPr>
                <a:r>
                  <a:rPr lang="en-US" sz="800"/>
                  <a:t>Age Groups</a:t>
                </a:r>
              </a:p>
            </c:rich>
          </c:tx>
          <c:layout>
            <c:manualLayout>
              <c:xMode val="edge"/>
              <c:yMode val="edge"/>
              <c:x val="0.39056530801298456"/>
              <c:y val="0.91230158730158761"/>
            </c:manualLayout>
          </c:layout>
          <c:spPr>
            <a:noFill/>
            <a:ln w="25382">
              <a:noFill/>
            </a:ln>
          </c:spPr>
        </c:title>
        <c:numFmt formatCode="General" sourceLinked="1"/>
        <c:tickLblPos val="nextTo"/>
        <c:spPr>
          <a:ln w="3173">
            <a:solidFill>
              <a:srgbClr val="000000"/>
            </a:solidFill>
            <a:prstDash val="solid"/>
          </a:ln>
        </c:spPr>
        <c:txPr>
          <a:bodyPr rot="0" vert="horz"/>
          <a:lstStyle/>
          <a:p>
            <a:pPr rtl="0">
              <a:defRPr sz="800" b="0" i="0" u="none" strike="noStrike" baseline="0">
                <a:solidFill>
                  <a:srgbClr val="000000"/>
                </a:solidFill>
                <a:latin typeface="Arial"/>
                <a:ea typeface="Arial"/>
                <a:cs typeface="Arial"/>
              </a:defRPr>
            </a:pPr>
            <a:endParaRPr lang="ar-SA"/>
          </a:p>
        </c:txPr>
        <c:crossAx val="110137728"/>
        <c:crosses val="autoZero"/>
        <c:auto val="1"/>
        <c:lblAlgn val="ctr"/>
        <c:lblOffset val="100"/>
        <c:tickLblSkip val="1"/>
        <c:tickMarkSkip val="1"/>
      </c:catAx>
      <c:valAx>
        <c:axId val="110137728"/>
        <c:scaling>
          <c:orientation val="minMax"/>
          <c:max val="100"/>
          <c:min val="0"/>
        </c:scaling>
        <c:axPos val="l"/>
        <c:title>
          <c:tx>
            <c:rich>
              <a:bodyPr/>
              <a:lstStyle/>
              <a:p>
                <a:pPr>
                  <a:defRPr sz="800" b="1" i="0" u="none" strike="noStrike" baseline="0">
                    <a:solidFill>
                      <a:srgbClr val="000000"/>
                    </a:solidFill>
                    <a:latin typeface="Arial"/>
                    <a:ea typeface="Arial"/>
                    <a:cs typeface="Arial"/>
                  </a:defRPr>
                </a:pPr>
                <a:r>
                  <a:rPr lang="en-US" sz="800"/>
                  <a:t>Percent</a:t>
                </a:r>
              </a:p>
            </c:rich>
          </c:tx>
          <c:layout>
            <c:manualLayout>
              <c:xMode val="edge"/>
              <c:yMode val="edge"/>
              <c:x val="3.1842219404777895E-3"/>
              <c:y val="0.28075594375638524"/>
            </c:manualLayout>
          </c:layout>
          <c:spPr>
            <a:noFill/>
            <a:ln w="25382">
              <a:noFill/>
            </a:ln>
          </c:spPr>
        </c:title>
        <c:numFmt formatCode="0" sourceLinked="0"/>
        <c:tickLblPos val="nextTo"/>
        <c:spPr>
          <a:ln w="3173">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110106880"/>
        <c:crosses val="autoZero"/>
        <c:crossBetween val="between"/>
        <c:majorUnit val="20"/>
        <c:minorUnit val="2"/>
      </c:valAx>
      <c:spPr>
        <a:noFill/>
        <a:ln w="25382">
          <a:noFill/>
        </a:ln>
      </c:spPr>
    </c:plotArea>
    <c:legend>
      <c:legendPos val="t"/>
      <c:layout>
        <c:manualLayout>
          <c:xMode val="edge"/>
          <c:yMode val="edge"/>
          <c:x val="2.5974025974026406E-2"/>
          <c:y val="1.1194029850746271E-2"/>
          <c:w val="0.89999995366048946"/>
          <c:h val="8.0327623624065966E-2"/>
        </c:manualLayout>
      </c:layout>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legend>
    <c:plotVisOnly val="1"/>
    <c:dispBlanksAs val="gap"/>
  </c:chart>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195125573768822"/>
          <c:y val="0.11441784698191759"/>
          <c:w val="0.85809312638584445"/>
          <c:h val="0.61224046228044005"/>
        </c:manualLayout>
      </c:layout>
      <c:barChart>
        <c:barDir val="col"/>
        <c:grouping val="clustered"/>
        <c:ser>
          <c:idx val="0"/>
          <c:order val="0"/>
          <c:tx>
            <c:strRef>
              <c:f>Sheet1!$B$1</c:f>
              <c:strCache>
                <c:ptCount val="1"/>
                <c:pt idx="0">
                  <c:v>الأراضي الفلسطينية Palestinian Territory</c:v>
                </c:pt>
              </c:strCache>
            </c:strRef>
          </c:tx>
          <c:spPr>
            <a:solidFill>
              <a:srgbClr val="9999FF"/>
            </a:solidFill>
            <a:ln w="12183">
              <a:solidFill>
                <a:srgbClr val="000000"/>
              </a:solidFill>
              <a:prstDash val="solid"/>
            </a:ln>
          </c:spPr>
          <c:cat>
            <c:numRef>
              <c:f>Sheet1!$A$2:$A$3</c:f>
              <c:numCache>
                <c:formatCode>General</c:formatCode>
                <c:ptCount val="2"/>
                <c:pt idx="0">
                  <c:v>2010</c:v>
                </c:pt>
                <c:pt idx="1">
                  <c:v>2011</c:v>
                </c:pt>
              </c:numCache>
            </c:numRef>
          </c:cat>
          <c:val>
            <c:numRef>
              <c:f>Sheet1!$B$2:$B$3</c:f>
            </c:numRef>
          </c:val>
        </c:ser>
        <c:ser>
          <c:idx val="1"/>
          <c:order val="1"/>
          <c:tx>
            <c:strRef>
              <c:f>Sheet1!$C$1</c:f>
              <c:strCache>
                <c:ptCount val="1"/>
                <c:pt idx="0">
                  <c:v>West Bank</c:v>
                </c:pt>
              </c:strCache>
            </c:strRef>
          </c:tx>
          <c:spPr>
            <a:solidFill>
              <a:srgbClr val="993366"/>
            </a:solidFill>
            <a:ln w="12183">
              <a:solidFill>
                <a:srgbClr val="000000"/>
              </a:solidFill>
              <a:prstDash val="solid"/>
            </a:ln>
          </c:spPr>
          <c:cat>
            <c:numRef>
              <c:f>Sheet1!$A$2:$A$3</c:f>
              <c:numCache>
                <c:formatCode>General</c:formatCode>
                <c:ptCount val="2"/>
                <c:pt idx="0">
                  <c:v>2010</c:v>
                </c:pt>
                <c:pt idx="1">
                  <c:v>2011</c:v>
                </c:pt>
              </c:numCache>
            </c:numRef>
          </c:cat>
          <c:val>
            <c:numRef>
              <c:f>Sheet1!$C$2:$C$3</c:f>
              <c:numCache>
                <c:formatCode>General</c:formatCode>
                <c:ptCount val="2"/>
                <c:pt idx="0">
                  <c:v>18.3</c:v>
                </c:pt>
                <c:pt idx="1">
                  <c:v>17.8</c:v>
                </c:pt>
              </c:numCache>
            </c:numRef>
          </c:val>
        </c:ser>
        <c:ser>
          <c:idx val="2"/>
          <c:order val="2"/>
          <c:tx>
            <c:strRef>
              <c:f>Sheet1!$D$1</c:f>
              <c:strCache>
                <c:ptCount val="1"/>
                <c:pt idx="0">
                  <c:v>Gaza Strip</c:v>
                </c:pt>
              </c:strCache>
            </c:strRef>
          </c:tx>
          <c:spPr>
            <a:solidFill>
              <a:srgbClr val="FFFFCC"/>
            </a:solidFill>
            <a:ln w="12183">
              <a:solidFill>
                <a:srgbClr val="000000"/>
              </a:solidFill>
              <a:prstDash val="solid"/>
            </a:ln>
          </c:spPr>
          <c:dLbls>
            <c:numFmt formatCode="#,##0.0" sourceLinked="0"/>
            <c:dLblPos val="outEnd"/>
            <c:showVal val="1"/>
          </c:dLbls>
          <c:cat>
            <c:numRef>
              <c:f>Sheet1!$A$2:$A$3</c:f>
              <c:numCache>
                <c:formatCode>General</c:formatCode>
                <c:ptCount val="2"/>
                <c:pt idx="0">
                  <c:v>2010</c:v>
                </c:pt>
                <c:pt idx="1">
                  <c:v>2011</c:v>
                </c:pt>
              </c:numCache>
            </c:numRef>
          </c:cat>
          <c:val>
            <c:numRef>
              <c:f>Sheet1!$D$2:$D$3</c:f>
              <c:numCache>
                <c:formatCode>General</c:formatCode>
                <c:ptCount val="2"/>
                <c:pt idx="0">
                  <c:v>38</c:v>
                </c:pt>
                <c:pt idx="1">
                  <c:v>38.800000000000004</c:v>
                </c:pt>
              </c:numCache>
            </c:numRef>
          </c:val>
        </c:ser>
        <c:dLbls>
          <c:showVal val="1"/>
        </c:dLbls>
        <c:axId val="110164608"/>
        <c:axId val="110244608"/>
      </c:barChart>
      <c:catAx>
        <c:axId val="110164608"/>
        <c:scaling>
          <c:orientation val="minMax"/>
        </c:scaling>
        <c:axPos val="b"/>
        <c:title>
          <c:tx>
            <c:rich>
              <a:bodyPr/>
              <a:lstStyle/>
              <a:p>
                <a:pPr>
                  <a:defRPr/>
                </a:pPr>
                <a:r>
                  <a:rPr lang="en-GB"/>
                  <a:t>Year</a:t>
                </a:r>
              </a:p>
            </c:rich>
          </c:tx>
          <c:layout>
            <c:manualLayout>
              <c:xMode val="edge"/>
              <c:yMode val="edge"/>
              <c:x val="0.43955534729117268"/>
              <c:y val="0.87928479939633497"/>
            </c:manualLayout>
          </c:layout>
          <c:spPr>
            <a:noFill/>
            <a:ln w="24361">
              <a:noFill/>
            </a:ln>
          </c:spPr>
        </c:title>
        <c:numFmt formatCode="General" sourceLinked="1"/>
        <c:tickLblPos val="nextTo"/>
        <c:spPr>
          <a:ln w="3044">
            <a:solidFill>
              <a:srgbClr val="000000"/>
            </a:solidFill>
            <a:prstDash val="solid"/>
          </a:ln>
        </c:spPr>
        <c:txPr>
          <a:bodyPr rot="0" vert="horz"/>
          <a:lstStyle/>
          <a:p>
            <a:pPr>
              <a:defRPr/>
            </a:pPr>
            <a:endParaRPr lang="ar-SA"/>
          </a:p>
        </c:txPr>
        <c:crossAx val="110244608"/>
        <c:crosses val="autoZero"/>
        <c:auto val="1"/>
        <c:lblAlgn val="ctr"/>
        <c:lblOffset val="100"/>
        <c:tickLblSkip val="1"/>
        <c:tickMarkSkip val="1"/>
      </c:catAx>
      <c:valAx>
        <c:axId val="110244608"/>
        <c:scaling>
          <c:orientation val="minMax"/>
        </c:scaling>
        <c:axPos val="l"/>
        <c:title>
          <c:tx>
            <c:rich>
              <a:bodyPr/>
              <a:lstStyle/>
              <a:p>
                <a:pPr>
                  <a:defRPr/>
                </a:pPr>
                <a:r>
                  <a:rPr lang="en-GB"/>
                  <a:t>Poverty Rates </a:t>
                </a:r>
              </a:p>
            </c:rich>
          </c:tx>
          <c:layout>
            <c:manualLayout>
              <c:xMode val="edge"/>
              <c:yMode val="edge"/>
              <c:x val="2.4390429457187363E-2"/>
              <c:y val="0.16818131310228571"/>
            </c:manualLayout>
          </c:layout>
          <c:spPr>
            <a:noFill/>
            <a:ln w="24361">
              <a:noFill/>
            </a:ln>
          </c:spPr>
        </c:title>
        <c:numFmt formatCode="General" sourceLinked="1"/>
        <c:tickLblPos val="nextTo"/>
        <c:spPr>
          <a:ln w="3044">
            <a:solidFill>
              <a:srgbClr val="000000"/>
            </a:solidFill>
            <a:prstDash val="solid"/>
          </a:ln>
        </c:spPr>
        <c:txPr>
          <a:bodyPr rot="0" vert="horz"/>
          <a:lstStyle/>
          <a:p>
            <a:pPr>
              <a:defRPr/>
            </a:pPr>
            <a:endParaRPr lang="ar-SA"/>
          </a:p>
        </c:txPr>
        <c:crossAx val="110164608"/>
        <c:crosses val="autoZero"/>
        <c:crossBetween val="between"/>
      </c:valAx>
      <c:spPr>
        <a:noFill/>
        <a:ln w="25395">
          <a:noFill/>
        </a:ln>
      </c:spPr>
    </c:plotArea>
    <c:legend>
      <c:legendPos val="t"/>
      <c:layout>
        <c:manualLayout>
          <c:xMode val="edge"/>
          <c:yMode val="edge"/>
          <c:x val="6.2958144724663018E-2"/>
          <c:y val="1.9445562005479245E-2"/>
          <c:w val="0.90300125527789465"/>
          <c:h val="0.12904496426997719"/>
        </c:manualLayout>
      </c:layout>
      <c:spPr>
        <a:noFill/>
        <a:ln w="3044">
          <a:noFill/>
          <a:prstDash val="solid"/>
        </a:ln>
      </c:spPr>
    </c:legend>
    <c:plotVisOnly val="1"/>
    <c:dispBlanksAs val="gap"/>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689433051637776"/>
          <c:y val="5.9918696209487317E-2"/>
          <c:w val="0.86597230901692757"/>
          <c:h val="0.64008826222305604"/>
        </c:manualLayout>
      </c:layout>
      <c:lineChart>
        <c:grouping val="stacked"/>
        <c:ser>
          <c:idx val="0"/>
          <c:order val="0"/>
          <c:tx>
            <c:strRef>
              <c:f>ورقة1!$A$2</c:f>
              <c:strCache>
                <c:ptCount val="1"/>
                <c:pt idx="0">
                  <c:v>فئة 1</c:v>
                </c:pt>
              </c:strCache>
            </c:strRef>
          </c:tx>
          <c:marker>
            <c:symbol val="circle"/>
            <c:size val="6"/>
          </c:marker>
          <c:dLbls>
            <c:dLbl>
              <c:idx val="0"/>
              <c:layout>
                <c:manualLayout>
                  <c:x val="-5.1982167670217697E-2"/>
                  <c:y val="-6.3926339852679731E-2"/>
                </c:manualLayout>
              </c:layout>
              <c:tx>
                <c:rich>
                  <a:bodyPr/>
                  <a:lstStyle/>
                  <a:p>
                    <a:r>
                      <a:rPr lang="en-US"/>
                      <a:t>2,120</a:t>
                    </a:r>
                  </a:p>
                </c:rich>
              </c:tx>
              <c:showVal val="1"/>
            </c:dLbl>
            <c:dLbl>
              <c:idx val="1"/>
              <c:layout>
                <c:manualLayout>
                  <c:x val="-2.2611857341361806E-2"/>
                  <c:y val="5.8069088138176322E-2"/>
                </c:manualLayout>
              </c:layout>
              <c:tx>
                <c:rich>
                  <a:bodyPr/>
                  <a:lstStyle/>
                  <a:p>
                    <a:r>
                      <a:rPr lang="en-US"/>
                      <a:t>4,477</a:t>
                    </a:r>
                  </a:p>
                </c:rich>
              </c:tx>
              <c:showVal val="1"/>
            </c:dLbl>
            <c:dLbl>
              <c:idx val="2"/>
              <c:layout>
                <c:manualLayout>
                  <c:x val="-0.10419383974062076"/>
                  <c:y val="-3.2848361696723449E-2"/>
                </c:manualLayout>
              </c:layout>
              <c:tx>
                <c:rich>
                  <a:bodyPr/>
                  <a:lstStyle/>
                  <a:p>
                    <a:r>
                      <a:rPr lang="en-US"/>
                      <a:t>11,640</a:t>
                    </a:r>
                  </a:p>
                </c:rich>
              </c:tx>
              <c:showVal val="1"/>
            </c:dLbl>
            <c:dLbl>
              <c:idx val="3"/>
              <c:layout>
                <c:manualLayout>
                  <c:x val="-6.061764705882406E-2"/>
                  <c:y val="-6.6276860553721104E-2"/>
                </c:manualLayout>
              </c:layout>
              <c:tx>
                <c:rich>
                  <a:bodyPr/>
                  <a:lstStyle/>
                  <a:p>
                    <a:r>
                      <a:rPr lang="en-US"/>
                      <a:t>16,496</a:t>
                    </a:r>
                  </a:p>
                </c:rich>
              </c:tx>
              <c:showVal val="1"/>
            </c:dLbl>
            <c:dLbl>
              <c:idx val="4"/>
              <c:layout>
                <c:manualLayout>
                  <c:x val="-5.1752663270032424E-2"/>
                  <c:y val="7.5663195326390709E-2"/>
                </c:manualLayout>
              </c:layout>
              <c:tx>
                <c:rich>
                  <a:bodyPr/>
                  <a:lstStyle/>
                  <a:p>
                    <a:r>
                      <a:rPr lang="en-US"/>
                      <a:t>9,993</a:t>
                    </a:r>
                  </a:p>
                </c:rich>
              </c:tx>
              <c:showVal val="1"/>
            </c:dLbl>
            <c:dLbl>
              <c:idx val="5"/>
              <c:layout>
                <c:manualLayout>
                  <c:x val="-5.9929365446966254E-2"/>
                  <c:y val="-6.2759969519939035E-2"/>
                </c:manualLayout>
              </c:layout>
              <c:tx>
                <c:rich>
                  <a:bodyPr/>
                  <a:lstStyle/>
                  <a:p>
                    <a:r>
                      <a:rPr lang="en-US"/>
                      <a:t>10,867</a:t>
                    </a:r>
                  </a:p>
                </c:rich>
              </c:tx>
              <c:showVal val="1"/>
            </c:dLbl>
            <c:dLbl>
              <c:idx val="6"/>
              <c:layout>
                <c:manualLayout>
                  <c:x val="-4.6141037517369081E-2"/>
                  <c:y val="7.6834137668275335E-2"/>
                </c:manualLayout>
              </c:layout>
              <c:tx>
                <c:rich>
                  <a:bodyPr/>
                  <a:lstStyle/>
                  <a:p>
                    <a:r>
                      <a:rPr lang="en-US"/>
                      <a:t>4,185</a:t>
                    </a:r>
                  </a:p>
                </c:rich>
              </c:tx>
              <c:showVal val="1"/>
            </c:dLbl>
            <c:dLbl>
              <c:idx val="7"/>
              <c:layout>
                <c:manualLayout>
                  <c:x val="-4.9040991199629513E-2"/>
                  <c:y val="-5.3962915925831988E-2"/>
                </c:manualLayout>
              </c:layout>
              <c:tx>
                <c:rich>
                  <a:bodyPr/>
                  <a:lstStyle/>
                  <a:p>
                    <a:r>
                      <a:rPr lang="en-US"/>
                      <a:t>4,773</a:t>
                    </a:r>
                  </a:p>
                </c:rich>
              </c:tx>
              <c:showVal val="1"/>
            </c:dLbl>
            <c:dLbl>
              <c:idx val="8"/>
              <c:layout>
                <c:manualLayout>
                  <c:x val="-4.9770495599814731E-2"/>
                  <c:y val="6.0999745999491997E-2"/>
                </c:manualLayout>
              </c:layout>
              <c:tx>
                <c:rich>
                  <a:bodyPr/>
                  <a:lstStyle/>
                  <a:p>
                    <a:r>
                      <a:rPr lang="en-US"/>
                      <a:t>3,550</a:t>
                    </a:r>
                  </a:p>
                </c:rich>
              </c:tx>
              <c:showVal val="1"/>
            </c:dLbl>
            <c:dLbl>
              <c:idx val="9"/>
              <c:layout>
                <c:manualLayout>
                  <c:x val="-2.895298749421029E-2"/>
                  <c:y val="7.272796545593152E-2"/>
                </c:manualLayout>
              </c:layout>
              <c:tx>
                <c:rich>
                  <a:bodyPr/>
                  <a:lstStyle/>
                  <a:p>
                    <a:r>
                      <a:rPr lang="en-US"/>
                      <a:t>5,610</a:t>
                    </a:r>
                  </a:p>
                </c:rich>
              </c:tx>
              <c:showVal val="1"/>
            </c:dLbl>
            <c:dLbl>
              <c:idx val="10"/>
              <c:layout>
                <c:manualLayout>
                  <c:x val="-6.0806160259379384E-2"/>
                  <c:y val="-5.3962915925832342E-2"/>
                </c:manualLayout>
              </c:layout>
              <c:tx>
                <c:rich>
                  <a:bodyPr/>
                  <a:lstStyle/>
                  <a:p>
                    <a:r>
                      <a:rPr lang="en-US"/>
                      <a:t>13,240</a:t>
                    </a:r>
                  </a:p>
                </c:rich>
              </c:tx>
              <c:showVal val="1"/>
            </c:dLbl>
            <c:dLbl>
              <c:idx val="11"/>
              <c:layout>
                <c:manualLayout>
                  <c:x val="-2.4176238999536824E-2"/>
                  <c:y val="6.686614173228346E-2"/>
                </c:manualLayout>
              </c:layout>
              <c:tx>
                <c:rich>
                  <a:bodyPr/>
                  <a:lstStyle/>
                  <a:p>
                    <a:r>
                      <a:rPr lang="en-US"/>
                      <a:t>11,897</a:t>
                    </a:r>
                  </a:p>
                </c:rich>
              </c:tx>
              <c:showVal val="1"/>
            </c:dLbl>
            <c:showVal val="1"/>
          </c:dLbls>
          <c:cat>
            <c:strRef>
              <c:f>ورقة1!$B$1:$M$1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ورقة1!$B$2:$M$2</c:f>
              <c:numCache>
                <c:formatCode>General</c:formatCode>
                <c:ptCount val="12"/>
                <c:pt idx="0">
                  <c:v>2120</c:v>
                </c:pt>
                <c:pt idx="1">
                  <c:v>4477</c:v>
                </c:pt>
                <c:pt idx="2">
                  <c:v>11640</c:v>
                </c:pt>
                <c:pt idx="3">
                  <c:v>16496</c:v>
                </c:pt>
                <c:pt idx="4">
                  <c:v>9993</c:v>
                </c:pt>
                <c:pt idx="5">
                  <c:v>10867</c:v>
                </c:pt>
                <c:pt idx="6">
                  <c:v>4185</c:v>
                </c:pt>
                <c:pt idx="7">
                  <c:v>8040</c:v>
                </c:pt>
                <c:pt idx="8">
                  <c:v>3550</c:v>
                </c:pt>
                <c:pt idx="9">
                  <c:v>5610</c:v>
                </c:pt>
                <c:pt idx="10">
                  <c:v>13240</c:v>
                </c:pt>
                <c:pt idx="11">
                  <c:v>11897</c:v>
                </c:pt>
              </c:numCache>
            </c:numRef>
          </c:val>
          <c:smooth val="1"/>
        </c:ser>
        <c:dLbls>
          <c:showVal val="1"/>
        </c:dLbls>
        <c:marker val="1"/>
        <c:axId val="110265088"/>
        <c:axId val="110266624"/>
      </c:lineChart>
      <c:catAx>
        <c:axId val="110265088"/>
        <c:scaling>
          <c:orientation val="minMax"/>
        </c:scaling>
        <c:axPos val="b"/>
        <c:tickLblPos val="nextTo"/>
        <c:crossAx val="110266624"/>
        <c:crosses val="autoZero"/>
        <c:auto val="1"/>
        <c:lblAlgn val="ctr"/>
        <c:lblOffset val="100"/>
      </c:catAx>
      <c:valAx>
        <c:axId val="110266624"/>
        <c:scaling>
          <c:orientation val="minMax"/>
        </c:scaling>
        <c:axPos val="l"/>
        <c:numFmt formatCode="General" sourceLinked="1"/>
        <c:tickLblPos val="nextTo"/>
        <c:crossAx val="110265088"/>
        <c:crosses val="autoZero"/>
        <c:crossBetween val="between"/>
      </c:valAx>
    </c:plotArea>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99124061985069"/>
          <c:y val="0.13365573530377337"/>
          <c:w val="0.84833135061026899"/>
          <c:h val="0.50593073924011933"/>
        </c:manualLayout>
      </c:layout>
      <c:barChart>
        <c:barDir val="col"/>
        <c:grouping val="clustered"/>
        <c:ser>
          <c:idx val="0"/>
          <c:order val="0"/>
          <c:tx>
            <c:strRef>
              <c:f>Sheet1!$A$2</c:f>
              <c:strCache>
                <c:ptCount val="1"/>
                <c:pt idx="0">
                  <c:v>East</c:v>
                </c:pt>
              </c:strCache>
            </c:strRef>
          </c:tx>
          <c:spPr>
            <a:solidFill>
              <a:srgbClr val="9999FF"/>
            </a:solidFill>
            <a:ln w="12170">
              <a:solidFill>
                <a:srgbClr val="000000"/>
              </a:solidFill>
              <a:prstDash val="solid"/>
            </a:ln>
          </c:spPr>
          <c:dLbls>
            <c:txPr>
              <a:bodyPr/>
              <a:lstStyle/>
              <a:p>
                <a:pPr>
                  <a:defRPr b="0"/>
                </a:pPr>
                <a:endParaRPr lang="ar-SA"/>
              </a:p>
            </c:txPr>
            <c:showVal val="1"/>
          </c:dLbls>
          <c:cat>
            <c:strRef>
              <c:f>Sheet1!$B$1:$E$1</c:f>
              <c:strCache>
                <c:ptCount val="4"/>
                <c:pt idx="0">
                  <c:v>Mobile Phone </c:v>
                </c:pt>
                <c:pt idx="1">
                  <c:v>Computer</c:v>
                </c:pt>
                <c:pt idx="2">
                  <c:v>Telephone Line</c:v>
                </c:pt>
                <c:pt idx="3">
                  <c:v>Internet at Home</c:v>
                </c:pt>
              </c:strCache>
            </c:strRef>
          </c:cat>
          <c:val>
            <c:numRef>
              <c:f>Sheet1!$B$2:$E$2</c:f>
              <c:numCache>
                <c:formatCode>General</c:formatCode>
                <c:ptCount val="4"/>
                <c:pt idx="0">
                  <c:v>97.8</c:v>
                </c:pt>
                <c:pt idx="1">
                  <c:v>63.1</c:v>
                </c:pt>
                <c:pt idx="2">
                  <c:v>39.800000000000004</c:v>
                </c:pt>
                <c:pt idx="3">
                  <c:v>48.3</c:v>
                </c:pt>
              </c:numCache>
            </c:numRef>
          </c:val>
        </c:ser>
        <c:dLbls>
          <c:showVal val="1"/>
        </c:dLbls>
        <c:axId val="110192128"/>
        <c:axId val="110194048"/>
      </c:barChart>
      <c:catAx>
        <c:axId val="110192128"/>
        <c:scaling>
          <c:orientation val="minMax"/>
        </c:scaling>
        <c:axPos val="b"/>
        <c:title>
          <c:tx>
            <c:rich>
              <a:bodyPr/>
              <a:lstStyle/>
              <a:p>
                <a:pPr>
                  <a:defRPr/>
                </a:pPr>
                <a:r>
                  <a:rPr lang="en-US"/>
                  <a:t>ICT Tools</a:t>
                </a:r>
              </a:p>
            </c:rich>
          </c:tx>
          <c:layout>
            <c:manualLayout>
              <c:xMode val="edge"/>
              <c:yMode val="edge"/>
              <c:x val="0.46719128285960781"/>
              <c:y val="0.84818451588122656"/>
            </c:manualLayout>
          </c:layout>
          <c:spPr>
            <a:noFill/>
            <a:ln w="24336">
              <a:noFill/>
            </a:ln>
          </c:spPr>
        </c:title>
        <c:numFmt formatCode="General" sourceLinked="1"/>
        <c:tickLblPos val="nextTo"/>
        <c:spPr>
          <a:ln w="3042">
            <a:solidFill>
              <a:srgbClr val="000000"/>
            </a:solidFill>
            <a:prstDash val="solid"/>
          </a:ln>
        </c:spPr>
        <c:txPr>
          <a:bodyPr rot="0" vert="horz"/>
          <a:lstStyle/>
          <a:p>
            <a:pPr>
              <a:defRPr b="0"/>
            </a:pPr>
            <a:endParaRPr lang="ar-SA"/>
          </a:p>
        </c:txPr>
        <c:crossAx val="110194048"/>
        <c:crosses val="autoZero"/>
        <c:auto val="1"/>
        <c:lblAlgn val="ctr"/>
        <c:lblOffset val="100"/>
        <c:tickLblSkip val="1"/>
        <c:tickMarkSkip val="1"/>
      </c:catAx>
      <c:valAx>
        <c:axId val="110194048"/>
        <c:scaling>
          <c:orientation val="minMax"/>
          <c:max val="100"/>
          <c:min val="0"/>
        </c:scaling>
        <c:axPos val="l"/>
        <c:title>
          <c:tx>
            <c:rich>
              <a:bodyPr/>
              <a:lstStyle/>
              <a:p>
                <a:pPr>
                  <a:defRPr b="1"/>
                </a:pPr>
                <a:r>
                  <a:rPr lang="en-US" b="1"/>
                  <a:t>Percentage</a:t>
                </a:r>
              </a:p>
            </c:rich>
          </c:tx>
          <c:layout>
            <c:manualLayout>
              <c:xMode val="edge"/>
              <c:yMode val="edge"/>
              <c:x val="1.2342838869645201E-2"/>
              <c:y val="0.17177806550735294"/>
            </c:manualLayout>
          </c:layout>
          <c:spPr>
            <a:noFill/>
            <a:ln w="24336">
              <a:noFill/>
            </a:ln>
          </c:spPr>
        </c:title>
        <c:numFmt formatCode="General" sourceLinked="1"/>
        <c:tickLblPos val="nextTo"/>
        <c:spPr>
          <a:ln w="3042">
            <a:solidFill>
              <a:srgbClr val="000000"/>
            </a:solidFill>
            <a:prstDash val="solid"/>
          </a:ln>
        </c:spPr>
        <c:txPr>
          <a:bodyPr rot="0" vert="horz"/>
          <a:lstStyle/>
          <a:p>
            <a:pPr>
              <a:defRPr b="0"/>
            </a:pPr>
            <a:endParaRPr lang="ar-SA"/>
          </a:p>
        </c:txPr>
        <c:crossAx val="110192128"/>
        <c:crosses val="autoZero"/>
        <c:crossBetween val="between"/>
        <c:majorUnit val="20"/>
      </c:valAx>
      <c:spPr>
        <a:noFill/>
        <a:ln w="25166">
          <a:noFill/>
        </a:ln>
      </c:spPr>
    </c:plotArea>
    <c:plotVisOnly val="1"/>
    <c:dispBlanksAs val="gap"/>
  </c:chart>
  <c:spPr>
    <a:noFill/>
    <a:ln>
      <a:noFill/>
    </a:ln>
  </c:spPr>
  <c:txPr>
    <a:bodyPr/>
    <a:lstStyle/>
    <a:p>
      <a:pPr>
        <a:defRPr sz="800" b="1" i="0" u="none" strike="noStrike" baseline="0">
          <a:solidFill>
            <a:srgbClr val="000000"/>
          </a:solidFill>
          <a:latin typeface="Arial" pitchFamily="34" charset="0"/>
          <a:ea typeface="Calibri"/>
          <a:cs typeface="Arial" pitchFamily="34" charset="0"/>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249068220269029"/>
          <c:y val="6.267806267806264E-2"/>
          <c:w val="0.86196812232073572"/>
          <c:h val="0.67147231596050494"/>
        </c:manualLayout>
      </c:layout>
      <c:barChart>
        <c:barDir val="col"/>
        <c:grouping val="clustered"/>
        <c:ser>
          <c:idx val="0"/>
          <c:order val="0"/>
          <c:tx>
            <c:strRef>
              <c:f>Sheet1!$B$1</c:f>
              <c:strCache>
                <c:ptCount val="1"/>
                <c:pt idx="0">
                  <c:v>2015</c:v>
                </c:pt>
              </c:strCache>
            </c:strRef>
          </c:tx>
          <c:dLbls>
            <c:txPr>
              <a:bodyPr/>
              <a:lstStyle/>
              <a:p>
                <a:pPr>
                  <a:defRPr>
                    <a:latin typeface="Arial" pitchFamily="34" charset="0"/>
                    <a:cs typeface="Arial" pitchFamily="34" charset="0"/>
                  </a:defRPr>
                </a:pPr>
                <a:endParaRPr lang="ar-SA"/>
              </a:p>
            </c:txPr>
            <c:showVal val="1"/>
          </c:dLbls>
          <c:cat>
            <c:strRef>
              <c:f>Sheet1!$A$2:$A$8</c:f>
              <c:strCache>
                <c:ptCount val="7"/>
                <c:pt idx="0">
                  <c:v>  Tulkarm</c:v>
                </c:pt>
                <c:pt idx="1">
                  <c:v>  Ramallah</c:v>
                </c:pt>
                <c:pt idx="2">
                  <c:v>  Nablus</c:v>
                </c:pt>
                <c:pt idx="3">
                  <c:v>  Hebron</c:v>
                </c:pt>
                <c:pt idx="4">
                  <c:v>  Jenin</c:v>
                </c:pt>
                <c:pt idx="5">
                  <c:v>  Jericho</c:v>
                </c:pt>
                <c:pt idx="6">
                  <c:v>Bethlehem</c:v>
                </c:pt>
              </c:strCache>
            </c:strRef>
          </c:cat>
          <c:val>
            <c:numRef>
              <c:f>Sheet1!$B$2:$B$8</c:f>
              <c:numCache>
                <c:formatCode>General</c:formatCode>
                <c:ptCount val="7"/>
                <c:pt idx="0">
                  <c:v>547.6</c:v>
                </c:pt>
                <c:pt idx="1">
                  <c:v>567.79999999999995</c:v>
                </c:pt>
                <c:pt idx="2">
                  <c:v>681.2</c:v>
                </c:pt>
                <c:pt idx="3">
                  <c:v>605.6</c:v>
                </c:pt>
                <c:pt idx="4">
                  <c:v>438.8</c:v>
                </c:pt>
                <c:pt idx="5">
                  <c:v>107.4</c:v>
                </c:pt>
                <c:pt idx="6" formatCode="0.0">
                  <c:v>553.29999999999995</c:v>
                </c:pt>
              </c:numCache>
            </c:numRef>
          </c:val>
        </c:ser>
        <c:dLbls>
          <c:showVal val="1"/>
        </c:dLbls>
        <c:axId val="110226432"/>
        <c:axId val="110437120"/>
      </c:barChart>
      <c:catAx>
        <c:axId val="110226432"/>
        <c:scaling>
          <c:orientation val="minMax"/>
        </c:scaling>
        <c:axPos val="b"/>
        <c:numFmt formatCode="General" sourceLinked="1"/>
        <c:tickLblPos val="nextTo"/>
        <c:txPr>
          <a:bodyPr rot="0"/>
          <a:lstStyle/>
          <a:p>
            <a:pPr>
              <a:defRPr>
                <a:latin typeface="Arial" pitchFamily="34" charset="0"/>
                <a:cs typeface="Arial" pitchFamily="34" charset="0"/>
              </a:defRPr>
            </a:pPr>
            <a:endParaRPr lang="ar-SA"/>
          </a:p>
        </c:txPr>
        <c:crossAx val="110437120"/>
        <c:crosses val="autoZero"/>
        <c:auto val="1"/>
        <c:lblAlgn val="ctr"/>
        <c:lblOffset val="100"/>
        <c:tickLblSkip val="1"/>
      </c:catAx>
      <c:valAx>
        <c:axId val="110437120"/>
        <c:scaling>
          <c:orientation val="minMax"/>
        </c:scaling>
        <c:axPos val="l"/>
        <c:numFmt formatCode="General" sourceLinked="1"/>
        <c:tickLblPos val="nextTo"/>
        <c:txPr>
          <a:bodyPr/>
          <a:lstStyle/>
          <a:p>
            <a:pPr>
              <a:defRPr>
                <a:latin typeface="Arial" pitchFamily="34" charset="0"/>
                <a:cs typeface="Arial" pitchFamily="34" charset="0"/>
              </a:defRPr>
            </a:pPr>
            <a:endParaRPr lang="ar-SA"/>
          </a:p>
        </c:txPr>
        <c:crossAx val="110226432"/>
        <c:crosses val="autoZero"/>
        <c:crossBetween val="between"/>
      </c:valAx>
    </c:plotArea>
    <c:plotVisOnly val="1"/>
    <c:dispBlanksAs val="zero"/>
  </c:chart>
  <c:spPr>
    <a:noFill/>
    <a:ln>
      <a:noFill/>
    </a:ln>
  </c:spPr>
  <c:txPr>
    <a:bodyPr/>
    <a:lstStyle/>
    <a:p>
      <a:pPr>
        <a:defRPr sz="799">
          <a:latin typeface="Arial (Body)"/>
        </a:defRPr>
      </a:pPr>
      <a:endParaRPr lang="ar-SA"/>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217171326943474"/>
          <c:y val="3.4042359288422412E-2"/>
          <c:w val="0.85862349346211309"/>
          <c:h val="0.51095553153452278"/>
        </c:manualLayout>
      </c:layout>
      <c:barChart>
        <c:barDir val="col"/>
        <c:grouping val="clustered"/>
        <c:ser>
          <c:idx val="0"/>
          <c:order val="0"/>
          <c:tx>
            <c:strRef>
              <c:f>Sheet1!$B$1</c:f>
              <c:strCache>
                <c:ptCount val="1"/>
                <c:pt idx="0">
                  <c:v>عدد الافعال الاجرامية المبلغ عنها</c:v>
                </c:pt>
              </c:strCache>
            </c:strRef>
          </c:tx>
          <c:dLbls>
            <c:dLbl>
              <c:idx val="6"/>
              <c:layout/>
              <c:tx>
                <c:rich>
                  <a:bodyPr/>
                  <a:lstStyle/>
                  <a:p>
                    <a:r>
                      <a:rPr lang="en-US"/>
                      <a:t>2,075</a:t>
                    </a:r>
                  </a:p>
                </c:rich>
              </c:tx>
              <c:dLblPos val="outEnd"/>
              <c:showVal val="1"/>
            </c:dLbl>
            <c:dLblPos val="outEnd"/>
            <c:showVal val="1"/>
          </c:dLbls>
          <c:cat>
            <c:strRef>
              <c:f>Sheet1!$A$2:$A$12</c:f>
              <c:strCache>
                <c:ptCount val="11"/>
                <c:pt idx="0">
                  <c:v>  Tubas</c:v>
                </c:pt>
                <c:pt idx="1">
                  <c:v>  Jericho &amp; Al Aghwar</c:v>
                </c:pt>
                <c:pt idx="2">
                  <c:v>  Jerusalem*</c:v>
                </c:pt>
                <c:pt idx="3">
                  <c:v>  Bethlehem</c:v>
                </c:pt>
                <c:pt idx="4">
                  <c:v>  Salfit</c:v>
                </c:pt>
                <c:pt idx="5">
                  <c:v>  Qalqiliya</c:v>
                </c:pt>
                <c:pt idx="6">
                  <c:v>  Tulkarm</c:v>
                </c:pt>
                <c:pt idx="7">
                  <c:v>  Jenin</c:v>
                </c:pt>
                <c:pt idx="8">
                  <c:v>  Ramallah &amp; Al Bireh</c:v>
                </c:pt>
                <c:pt idx="9">
                  <c:v>  Nablus</c:v>
                </c:pt>
                <c:pt idx="10">
                  <c:v>  Hebron</c:v>
                </c:pt>
              </c:strCache>
            </c:strRef>
          </c:cat>
          <c:val>
            <c:numRef>
              <c:f>Sheet1!$B$2:$B$12</c:f>
              <c:numCache>
                <c:formatCode>#,##0</c:formatCode>
                <c:ptCount val="11"/>
                <c:pt idx="0">
                  <c:v>879</c:v>
                </c:pt>
                <c:pt idx="1">
                  <c:v>1278</c:v>
                </c:pt>
                <c:pt idx="2">
                  <c:v>1042</c:v>
                </c:pt>
                <c:pt idx="3">
                  <c:v>1963</c:v>
                </c:pt>
                <c:pt idx="4">
                  <c:v>2162</c:v>
                </c:pt>
                <c:pt idx="5">
                  <c:v>2463</c:v>
                </c:pt>
                <c:pt idx="6">
                  <c:v>2075</c:v>
                </c:pt>
                <c:pt idx="7">
                  <c:v>2747</c:v>
                </c:pt>
                <c:pt idx="8">
                  <c:v>4180</c:v>
                </c:pt>
                <c:pt idx="9">
                  <c:v>3288</c:v>
                </c:pt>
                <c:pt idx="10">
                  <c:v>5445</c:v>
                </c:pt>
              </c:numCache>
            </c:numRef>
          </c:val>
        </c:ser>
        <c:axId val="110453504"/>
        <c:axId val="110455040"/>
      </c:barChart>
      <c:catAx>
        <c:axId val="110453504"/>
        <c:scaling>
          <c:orientation val="minMax"/>
        </c:scaling>
        <c:axPos val="b"/>
        <c:tickLblPos val="nextTo"/>
        <c:txPr>
          <a:bodyPr rot="0" vert="horz"/>
          <a:lstStyle/>
          <a:p>
            <a:pPr>
              <a:defRPr sz="700" baseline="0">
                <a:latin typeface="Arial" pitchFamily="34" charset="0"/>
                <a:cs typeface="Arial" pitchFamily="34" charset="0"/>
              </a:defRPr>
            </a:pPr>
            <a:endParaRPr lang="ar-SA"/>
          </a:p>
        </c:txPr>
        <c:crossAx val="110455040"/>
        <c:crosses val="autoZero"/>
        <c:auto val="1"/>
        <c:lblAlgn val="ctr"/>
        <c:lblOffset val="100"/>
      </c:catAx>
      <c:valAx>
        <c:axId val="110455040"/>
        <c:scaling>
          <c:orientation val="minMax"/>
        </c:scaling>
        <c:axPos val="l"/>
        <c:numFmt formatCode="#,##0" sourceLinked="0"/>
        <c:tickLblPos val="nextTo"/>
        <c:txPr>
          <a:bodyPr/>
          <a:lstStyle/>
          <a:p>
            <a:pPr>
              <a:defRPr>
                <a:latin typeface="Arial" pitchFamily="34" charset="0"/>
                <a:cs typeface="Arial" pitchFamily="34" charset="0"/>
              </a:defRPr>
            </a:pPr>
            <a:endParaRPr lang="ar-SA"/>
          </a:p>
        </c:txPr>
        <c:crossAx val="110453504"/>
        <c:crosses val="autoZero"/>
        <c:crossBetween val="between"/>
      </c:valAx>
    </c:plotArea>
    <c:plotVisOnly val="1"/>
  </c:chart>
  <c:spPr>
    <a:ln>
      <a:noFill/>
    </a:ln>
  </c:spPr>
  <c:txPr>
    <a:bodyPr/>
    <a:lstStyle/>
    <a:p>
      <a:pPr>
        <a:defRPr sz="800"/>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roundedCorners val="1"/>
  <c:chart>
    <c:plotArea>
      <c:layout>
        <c:manualLayout>
          <c:layoutTarget val="inner"/>
          <c:xMode val="edge"/>
          <c:yMode val="edge"/>
          <c:x val="0.13434481078003041"/>
          <c:y val="5.7762824291669124E-2"/>
          <c:w val="0.84599814497539483"/>
          <c:h val="0.63808007288663782"/>
        </c:manualLayout>
      </c:layout>
      <c:barChart>
        <c:barDir val="col"/>
        <c:grouping val="clustered"/>
        <c:ser>
          <c:idx val="0"/>
          <c:order val="0"/>
          <c:tx>
            <c:strRef>
              <c:f>Sheet1!$B$1</c:f>
              <c:strCache>
                <c:ptCount val="1"/>
                <c:pt idx="0">
                  <c:v>2014</c:v>
                </c:pt>
              </c:strCache>
            </c:strRef>
          </c:tx>
          <c:dLbls>
            <c:dLbl>
              <c:idx val="1"/>
              <c:layout/>
              <c:tx>
                <c:rich>
                  <a:bodyPr/>
                  <a:lstStyle/>
                  <a:p>
                    <a:r>
                      <a:rPr lang="en-US" sz="800">
                        <a:latin typeface="Arial" pitchFamily="34" charset="0"/>
                        <a:cs typeface="Arial" pitchFamily="34" charset="0"/>
                      </a:rPr>
                      <a:t> </a:t>
                    </a:r>
                    <a:r>
                      <a:rPr lang="en-US"/>
                      <a:t>5.8</a:t>
                    </a:r>
                  </a:p>
                  <a:p>
                    <a:endParaRPr lang="en-US"/>
                  </a:p>
                </c:rich>
              </c:tx>
              <c:showVal val="1"/>
            </c:dLbl>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Sheet1!$B$2:$B$4</c:f>
              <c:numCache>
                <c:formatCode>_(* #,##0.0_);_(* \(#,##0.0\);_(* "-"??_);_(@_)</c:formatCode>
                <c:ptCount val="3"/>
                <c:pt idx="0">
                  <c:v>7.4556000000000004</c:v>
                </c:pt>
                <c:pt idx="1">
                  <c:v>5.8</c:v>
                </c:pt>
                <c:pt idx="2">
                  <c:v>1.7000000000000002</c:v>
                </c:pt>
              </c:numCache>
            </c:numRef>
          </c:val>
        </c:ser>
        <c:ser>
          <c:idx val="1"/>
          <c:order val="1"/>
          <c:tx>
            <c:strRef>
              <c:f>Sheet1!$C$1</c:f>
              <c:strCache>
                <c:ptCount val="1"/>
                <c:pt idx="0">
                  <c:v>2015</c:v>
                </c:pt>
              </c:strCache>
            </c:strRef>
          </c:tx>
          <c:dLbls>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Sheet1!$C$2:$C$4</c:f>
              <c:numCache>
                <c:formatCode>_(* #,##0.0_);_(* \(#,##0.0\);_(* "-"??_);_(@_)</c:formatCode>
                <c:ptCount val="3"/>
                <c:pt idx="0">
                  <c:v>7.7</c:v>
                </c:pt>
                <c:pt idx="1">
                  <c:v>5.9</c:v>
                </c:pt>
                <c:pt idx="2">
                  <c:v>1.8</c:v>
                </c:pt>
              </c:numCache>
            </c:numRef>
          </c:val>
        </c:ser>
        <c:ser>
          <c:idx val="2"/>
          <c:order val="2"/>
          <c:tx>
            <c:strRef>
              <c:f>Sheet1!$D$1</c:f>
              <c:strCache>
                <c:ptCount val="1"/>
                <c:pt idx="0">
                  <c:v>2016</c:v>
                </c:pt>
              </c:strCache>
            </c:strRef>
          </c:tx>
          <c:dLbls>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Sheet1!$D$2:$D$4</c:f>
              <c:numCache>
                <c:formatCode>_(* #,##0.0_);_(* \(#,##0.0\);_(* "-"??_);_(@_)</c:formatCode>
                <c:ptCount val="3"/>
                <c:pt idx="0">
                  <c:v>8</c:v>
                </c:pt>
                <c:pt idx="1">
                  <c:v>6.1</c:v>
                </c:pt>
                <c:pt idx="2">
                  <c:v>1.9000000000000001</c:v>
                </c:pt>
              </c:numCache>
            </c:numRef>
          </c:val>
        </c:ser>
        <c:dLbls>
          <c:showVal val="1"/>
        </c:dLbls>
        <c:axId val="110376448"/>
        <c:axId val="110378368"/>
      </c:barChart>
      <c:catAx>
        <c:axId val="110376448"/>
        <c:scaling>
          <c:orientation val="minMax"/>
        </c:scaling>
        <c:axPos val="b"/>
        <c:title>
          <c:tx>
            <c:rich>
              <a:bodyPr/>
              <a:lstStyle/>
              <a:p>
                <a:pPr rtl="1">
                  <a:defRPr/>
                </a:pPr>
                <a:r>
                  <a:rPr lang="en-US" sz="800">
                    <a:latin typeface="Arial" pitchFamily="34" charset="0"/>
                    <a:cs typeface="Arial" pitchFamily="34" charset="0"/>
                  </a:rPr>
                  <a:t>Region</a:t>
                </a:r>
              </a:p>
            </c:rich>
          </c:tx>
          <c:layout>
            <c:manualLayout>
              <c:xMode val="edge"/>
              <c:yMode val="edge"/>
              <c:x val="0.45766065086483232"/>
              <c:y val="0.85003036515292363"/>
            </c:manualLayout>
          </c:layout>
        </c:title>
        <c:tickLblPos val="nextTo"/>
        <c:txPr>
          <a:bodyPr/>
          <a:lstStyle/>
          <a:p>
            <a:pPr>
              <a:defRPr sz="800">
                <a:latin typeface="Arial" pitchFamily="34" charset="0"/>
                <a:cs typeface="Arial" pitchFamily="34" charset="0"/>
              </a:defRPr>
            </a:pPr>
            <a:endParaRPr lang="ar-SA"/>
          </a:p>
        </c:txPr>
        <c:crossAx val="110378368"/>
        <c:crosses val="autoZero"/>
        <c:auto val="1"/>
        <c:lblAlgn val="ctr"/>
        <c:lblOffset val="100"/>
      </c:catAx>
      <c:valAx>
        <c:axId val="110378368"/>
        <c:scaling>
          <c:orientation val="minMax"/>
        </c:scaling>
        <c:axPos val="l"/>
        <c:title>
          <c:tx>
            <c:rich>
              <a:bodyPr rot="-5400000" vert="horz"/>
              <a:lstStyle/>
              <a:p>
                <a:pPr rtl="1">
                  <a:defRPr/>
                </a:pPr>
                <a:r>
                  <a:rPr lang="en-US"/>
                  <a:t>Value</a:t>
                </a:r>
              </a:p>
            </c:rich>
          </c:tx>
          <c:layout/>
        </c:title>
        <c:numFmt formatCode="_(* #,##0.0_);_(* \(#,##0.0\);_(* &quot;-&quot;??_);_(@_)" sourceLinked="1"/>
        <c:tickLblPos val="nextTo"/>
        <c:crossAx val="110376448"/>
        <c:crosses val="autoZero"/>
        <c:crossBetween val="between"/>
      </c:valAx>
    </c:plotArea>
    <c:legend>
      <c:legendPos val="r"/>
      <c:layout>
        <c:manualLayout>
          <c:xMode val="edge"/>
          <c:yMode val="edge"/>
          <c:x val="0.86033828089448983"/>
          <c:y val="4.1517362808069148E-2"/>
          <c:w val="0.11314083515893304"/>
          <c:h val="0.2633873688013893"/>
        </c:manualLayout>
      </c:layout>
      <c:txPr>
        <a:bodyPr/>
        <a:lstStyle/>
        <a:p>
          <a:pPr rtl="0">
            <a:defRPr/>
          </a:pPr>
          <a:endParaRPr lang="ar-SA"/>
        </a:p>
      </c:txPr>
    </c:legend>
    <c:plotVisOnly val="1"/>
  </c:chart>
  <c:spPr>
    <a:ln w="3175">
      <a:solidFill>
        <a:schemeClr val="tx1"/>
      </a:solidFill>
    </a:ln>
  </c:spPr>
  <c:txPr>
    <a:bodyPr/>
    <a:lstStyle/>
    <a:p>
      <a:pPr>
        <a:defRPr sz="900">
          <a:cs typeface="+mn-cs"/>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8225419664268591"/>
          <c:y val="4.6913817198936933E-2"/>
          <c:w val="0.79616306954436356"/>
          <c:h val="0.75105768674677365"/>
        </c:manualLayout>
      </c:layout>
      <c:barChart>
        <c:barDir val="col"/>
        <c:grouping val="clustered"/>
        <c:ser>
          <c:idx val="1"/>
          <c:order val="0"/>
          <c:tx>
            <c:strRef>
              <c:f>Sheet1!$A$2</c:f>
              <c:strCache>
                <c:ptCount val="1"/>
                <c:pt idx="0">
                  <c:v>2014</c:v>
                </c:pt>
              </c:strCache>
            </c:strRef>
          </c:tx>
          <c:spPr>
            <a:solidFill>
              <a:srgbClr val="993366"/>
            </a:solidFill>
            <a:ln w="12527">
              <a:solidFill>
                <a:srgbClr val="000000"/>
              </a:solidFill>
              <a:prstDash val="solid"/>
            </a:ln>
          </c:spPr>
          <c:dLbls>
            <c:dLbl>
              <c:idx val="0"/>
              <c:layout/>
              <c:tx>
                <c:rich>
                  <a:bodyPr/>
                  <a:lstStyle/>
                  <a:p>
                    <a:r>
                      <a:rPr lang="en-US"/>
                      <a:t>17,057</a:t>
                    </a:r>
                  </a:p>
                </c:rich>
              </c:tx>
              <c:showVal val="1"/>
            </c:dLbl>
            <c:dLbl>
              <c:idx val="1"/>
              <c:layout>
                <c:manualLayout>
                  <c:x val="1.8071592254469701E-3"/>
                  <c:y val="2.7141178316518956E-3"/>
                </c:manualLayout>
              </c:layout>
              <c:tx>
                <c:rich>
                  <a:bodyPr/>
                  <a:lstStyle/>
                  <a:p>
                    <a:r>
                      <a:rPr lang="en-US"/>
                      <a:t>86,253</a:t>
                    </a:r>
                  </a:p>
                </c:rich>
              </c:tx>
              <c:dLblPos val="outEnd"/>
              <c:showVal val="1"/>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dLbls>
          <c:cat>
            <c:strRef>
              <c:f>Sheet1!$B$1:$C$1</c:f>
              <c:strCache>
                <c:ptCount val="2"/>
                <c:pt idx="0">
                  <c:v>No. of Enterprises </c:v>
                </c:pt>
                <c:pt idx="1">
                  <c:v>No. of Employed Persons</c:v>
                </c:pt>
              </c:strCache>
            </c:strRef>
          </c:cat>
          <c:val>
            <c:numRef>
              <c:f>Sheet1!$B$2:$C$2</c:f>
              <c:numCache>
                <c:formatCode>General</c:formatCode>
                <c:ptCount val="2"/>
                <c:pt idx="0">
                  <c:v>17057</c:v>
                </c:pt>
                <c:pt idx="1">
                  <c:v>86253</c:v>
                </c:pt>
              </c:numCache>
            </c:numRef>
          </c:val>
        </c:ser>
        <c:ser>
          <c:idx val="2"/>
          <c:order val="1"/>
          <c:tx>
            <c:strRef>
              <c:f>Sheet1!$A$3</c:f>
              <c:strCache>
                <c:ptCount val="1"/>
                <c:pt idx="0">
                  <c:v>2015</c:v>
                </c:pt>
              </c:strCache>
            </c:strRef>
          </c:tx>
          <c:spPr>
            <a:solidFill>
              <a:srgbClr val="FFFFCC"/>
            </a:solidFill>
            <a:ln w="12527">
              <a:solidFill>
                <a:srgbClr val="000000"/>
              </a:solidFill>
              <a:prstDash val="solid"/>
            </a:ln>
          </c:spPr>
          <c:dLbls>
            <c:dLbl>
              <c:idx val="0"/>
              <c:layout>
                <c:manualLayout>
                  <c:x val="5.8428692037129134E-3"/>
                  <c:y val="3.3410931400960292E-3"/>
                </c:manualLayout>
              </c:layout>
              <c:tx>
                <c:rich>
                  <a:bodyPr/>
                  <a:lstStyle/>
                  <a:p>
                    <a:r>
                      <a:rPr lang="en-US"/>
                      <a:t>18,056</a:t>
                    </a:r>
                  </a:p>
                </c:rich>
              </c:tx>
              <c:dLblPos val="outEnd"/>
              <c:showVal val="1"/>
            </c:dLbl>
            <c:dLbl>
              <c:idx val="1"/>
              <c:layout>
                <c:manualLayout>
                  <c:x val="8.2410103551060505E-3"/>
                  <c:y val="2.9991066082175216E-3"/>
                </c:manualLayout>
              </c:layout>
              <c:tx>
                <c:rich>
                  <a:bodyPr/>
                  <a:lstStyle/>
                  <a:p>
                    <a:r>
                      <a:rPr lang="en-US"/>
                      <a:t>90,486</a:t>
                    </a:r>
                  </a:p>
                </c:rich>
              </c:tx>
              <c:dLblPos val="outEnd"/>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dLbls>
          <c:cat>
            <c:strRef>
              <c:f>Sheet1!$B$1:$C$1</c:f>
              <c:strCache>
                <c:ptCount val="2"/>
                <c:pt idx="0">
                  <c:v>No. of Enterprises </c:v>
                </c:pt>
                <c:pt idx="1">
                  <c:v>No. of Employed Persons</c:v>
                </c:pt>
              </c:strCache>
            </c:strRef>
          </c:cat>
          <c:val>
            <c:numRef>
              <c:f>Sheet1!$B$3:$C$3</c:f>
              <c:numCache>
                <c:formatCode>General</c:formatCode>
                <c:ptCount val="2"/>
                <c:pt idx="0">
                  <c:v>18056</c:v>
                </c:pt>
                <c:pt idx="1">
                  <c:v>90486</c:v>
                </c:pt>
              </c:numCache>
            </c:numRef>
          </c:val>
        </c:ser>
        <c:ser>
          <c:idx val="0"/>
          <c:order val="2"/>
          <c:tx>
            <c:strRef>
              <c:f>Sheet1!$A$4</c:f>
              <c:strCache>
                <c:ptCount val="1"/>
                <c:pt idx="0">
                  <c:v>2016</c:v>
                </c:pt>
              </c:strCache>
            </c:strRef>
          </c:tx>
          <c:cat>
            <c:strRef>
              <c:f>Sheet1!$B$1:$C$1</c:f>
              <c:strCache>
                <c:ptCount val="2"/>
                <c:pt idx="0">
                  <c:v>No. of Enterprises </c:v>
                </c:pt>
                <c:pt idx="1">
                  <c:v>No. of Employed Persons</c:v>
                </c:pt>
              </c:strCache>
            </c:strRef>
          </c:cat>
          <c:val>
            <c:numRef>
              <c:f>Sheet1!$B$4:$C$4</c:f>
              <c:numCache>
                <c:formatCode>General</c:formatCode>
                <c:ptCount val="2"/>
                <c:pt idx="0">
                  <c:v>19367</c:v>
                </c:pt>
                <c:pt idx="1">
                  <c:v>98776</c:v>
                </c:pt>
              </c:numCache>
            </c:numRef>
          </c:val>
        </c:ser>
        <c:dLbls>
          <c:showVal val="1"/>
        </c:dLbls>
        <c:axId val="110523136"/>
        <c:axId val="110524672"/>
      </c:barChart>
      <c:catAx>
        <c:axId val="110523136"/>
        <c:scaling>
          <c:orientation val="minMax"/>
        </c:scaling>
        <c:axPos val="b"/>
        <c:numFmt formatCode="General" sourceLinked="1"/>
        <c:tickLblPos val="nextTo"/>
        <c:spPr>
          <a:ln w="3127">
            <a:solidFill>
              <a:srgbClr val="000000"/>
            </a:solidFill>
            <a:prstDash val="solid"/>
          </a:ln>
        </c:spPr>
        <c:txPr>
          <a:bodyPr rot="0" vert="horz"/>
          <a:lstStyle/>
          <a:p>
            <a:pPr>
              <a:defRPr sz="790" b="0" i="0" u="none" strike="noStrike" baseline="0">
                <a:solidFill>
                  <a:srgbClr val="000000"/>
                </a:solidFill>
                <a:latin typeface="Arial"/>
                <a:ea typeface="Arial"/>
                <a:cs typeface="Arial"/>
              </a:defRPr>
            </a:pPr>
            <a:endParaRPr lang="ar-SA"/>
          </a:p>
        </c:txPr>
        <c:crossAx val="110524672"/>
        <c:crosses val="autoZero"/>
        <c:auto val="1"/>
        <c:lblAlgn val="ctr"/>
        <c:lblOffset val="100"/>
        <c:tickLblSkip val="1"/>
        <c:tickMarkSkip val="1"/>
      </c:catAx>
      <c:valAx>
        <c:axId val="110524672"/>
        <c:scaling>
          <c:orientation val="minMax"/>
        </c:scaling>
        <c:axPos val="l"/>
        <c:title>
          <c:tx>
            <c:rich>
              <a:bodyPr/>
              <a:lstStyle/>
              <a:p>
                <a:pPr>
                  <a:defRPr sz="785" b="1" i="0" u="none" strike="noStrike" baseline="0">
                    <a:solidFill>
                      <a:srgbClr val="000000"/>
                    </a:solidFill>
                    <a:latin typeface="Arial"/>
                    <a:ea typeface="Arial"/>
                    <a:cs typeface="Arial"/>
                  </a:defRPr>
                </a:pPr>
                <a:r>
                  <a:rPr lang="en-GB"/>
                  <a:t>Number</a:t>
                </a:r>
              </a:p>
            </c:rich>
          </c:tx>
          <c:layout>
            <c:manualLayout>
              <c:xMode val="edge"/>
              <c:yMode val="edge"/>
              <c:x val="2.6379038386626728E-2"/>
              <c:y val="0.25974024214715075"/>
            </c:manualLayout>
          </c:layout>
          <c:spPr>
            <a:noFill/>
            <a:ln w="25045">
              <a:noFill/>
            </a:ln>
          </c:spPr>
        </c:title>
        <c:numFmt formatCode="General" sourceLinked="1"/>
        <c:tickLblPos val="nextTo"/>
        <c:spPr>
          <a:ln w="3127">
            <a:solidFill>
              <a:srgbClr val="000000"/>
            </a:solidFill>
            <a:prstDash val="solid"/>
          </a:ln>
        </c:spPr>
        <c:txPr>
          <a:bodyPr rot="0" vert="horz"/>
          <a:lstStyle/>
          <a:p>
            <a:pPr>
              <a:defRPr sz="790" b="0" i="0" u="none" strike="noStrike" baseline="0">
                <a:solidFill>
                  <a:srgbClr val="000000"/>
                </a:solidFill>
                <a:latin typeface="Arial"/>
                <a:ea typeface="Arial"/>
                <a:cs typeface="Arial"/>
              </a:defRPr>
            </a:pPr>
            <a:endParaRPr lang="ar-SA"/>
          </a:p>
        </c:txPr>
        <c:crossAx val="110523136"/>
        <c:crosses val="autoZero"/>
        <c:crossBetween val="between"/>
      </c:valAx>
      <c:spPr>
        <a:noFill/>
        <a:ln w="25395">
          <a:noFill/>
        </a:ln>
      </c:spPr>
    </c:plotArea>
    <c:legend>
      <c:legendPos val="t"/>
      <c:layout>
        <c:manualLayout>
          <c:xMode val="edge"/>
          <c:yMode val="edge"/>
          <c:x val="0.30012708265482968"/>
          <c:y val="0.10019337905342479"/>
          <c:w val="0.26746566417915424"/>
          <c:h val="0.11336419311222461"/>
        </c:manualLayout>
      </c:layout>
      <c:spPr>
        <a:noFill/>
        <a:ln w="3127">
          <a:solidFill>
            <a:srgbClr val="000000"/>
          </a:solidFill>
          <a:prstDash val="solid"/>
        </a:ln>
      </c:spPr>
      <c:txPr>
        <a:bodyPr/>
        <a:lstStyle/>
        <a:p>
          <a:pPr>
            <a:defRPr sz="726" b="0" i="0" u="none" strike="noStrike" baseline="0">
              <a:solidFill>
                <a:srgbClr val="000000"/>
              </a:solidFill>
              <a:latin typeface="Arial"/>
              <a:ea typeface="Arial"/>
              <a:cs typeface="Arial"/>
            </a:defRPr>
          </a:pPr>
          <a:endParaRPr lang="ar-SA"/>
        </a:p>
      </c:txPr>
    </c:legend>
    <c:plotVisOnly val="1"/>
    <c:dispBlanksAs val="gap"/>
  </c:chart>
  <c:spPr>
    <a:noFill/>
    <a:ln>
      <a:noFill/>
    </a:ln>
  </c:spPr>
  <c:txPr>
    <a:bodyPr/>
    <a:lstStyle/>
    <a:p>
      <a:pPr>
        <a:defRPr sz="790" b="0" i="0" u="none" strike="noStrike" baseline="0">
          <a:solidFill>
            <a:srgbClr val="000000"/>
          </a:solidFill>
          <a:latin typeface="Arial"/>
          <a:ea typeface="Arial"/>
          <a:cs typeface="Arial"/>
        </a:defRPr>
      </a:pPr>
      <a:endParaRPr lang="ar-SA"/>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5EED49-E233-4D78-BE70-676DCB03A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1704</TotalTime>
  <Pages>24</Pages>
  <Words>5113</Words>
  <Characters>27042</Characters>
  <Application>Microsoft Office Word</Application>
  <DocSecurity>0</DocSecurity>
  <Lines>225</Lines>
  <Paragraphs>64</Paragraphs>
  <ScaleCrop>false</ScaleCrop>
  <HeadingPairs>
    <vt:vector size="2" baseType="variant">
      <vt:variant>
        <vt:lpstr>Title</vt:lpstr>
      </vt:variant>
      <vt:variant>
        <vt:i4>1</vt:i4>
      </vt:variant>
    </vt:vector>
  </HeadingPairs>
  <TitlesOfParts>
    <vt:vector size="1" baseType="lpstr">
      <vt:lpstr>Land Use</vt:lpstr>
    </vt:vector>
  </TitlesOfParts>
  <Company>PCBS</Company>
  <LinksUpToDate>false</LinksUpToDate>
  <CharactersWithSpaces>32091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Land Use</dc:title>
  <dc:creator>YOUSEF</dc:creator>
  <cp:lastModifiedBy>ghadeerali</cp:lastModifiedBy>
  <cp:revision>525</cp:revision>
  <cp:lastPrinted>2017-12-11T09:49:00Z</cp:lastPrinted>
  <dcterms:created xsi:type="dcterms:W3CDTF">2015-11-25T10:00:00Z</dcterms:created>
  <dcterms:modified xsi:type="dcterms:W3CDTF">2017-12-18T10:05:00Z</dcterms:modified>
</cp:coreProperties>
</file>